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03" w:rsidRPr="00DD17D1" w:rsidRDefault="00BD2802">
      <w:pPr>
        <w:pStyle w:val="Titel1"/>
        <w:spacing w:before="120" w:after="120"/>
        <w:rPr>
          <w:sz w:val="48"/>
          <w:szCs w:val="48"/>
          <w:lang w:val="fr-CH"/>
        </w:rPr>
      </w:pPr>
      <w:bookmarkStart w:id="0" w:name="_GoBack"/>
      <w:bookmarkEnd w:id="0"/>
      <w:r w:rsidRPr="00DD17D1">
        <w:rPr>
          <w:sz w:val="48"/>
          <w:szCs w:val="48"/>
          <w:lang w:val="fr-CH"/>
        </w:rPr>
        <w:t xml:space="preserve">Concept SIPD </w:t>
      </w:r>
    </w:p>
    <w:p w:rsidR="00940103" w:rsidRPr="00DD17D1" w:rsidRDefault="00BD2802">
      <w:pPr>
        <w:pStyle w:val="Titel3"/>
        <w:spacing w:before="240"/>
        <w:ind w:left="0" w:firstLine="0"/>
        <w:rPr>
          <w:lang w:val="fr-CH"/>
        </w:rPr>
      </w:pPr>
      <w:r w:rsidRPr="00DD17D1">
        <w:rPr>
          <w:lang w:val="fr-CH"/>
        </w:rPr>
        <w:t>En-tête</w:t>
      </w:r>
      <w:r w:rsidR="00940103" w:rsidRPr="00DD17D1">
        <w:rPr>
          <w:lang w:val="fr-CH"/>
        </w:rPr>
        <w:t xml:space="preserve"> </w:t>
      </w:r>
      <w:r w:rsidR="00940103" w:rsidRPr="00DD17D1">
        <w:rPr>
          <w:b w:val="0"/>
          <w:i w:val="0"/>
          <w:color w:val="auto"/>
          <w:sz w:val="20"/>
          <w:szCs w:val="20"/>
          <w:lang w:val="fr-CH"/>
        </w:rPr>
        <w:t>_______________________________________________________________________</w:t>
      </w:r>
    </w:p>
    <w:p w:rsidR="00940103" w:rsidRPr="00DD17D1" w:rsidRDefault="00BD2802">
      <w:pPr>
        <w:pStyle w:val="AufzhlungPunkt"/>
        <w:numPr>
          <w:ilvl w:val="0"/>
          <w:numId w:val="4"/>
        </w:numPr>
        <w:tabs>
          <w:tab w:val="clear" w:pos="720"/>
          <w:tab w:val="clear" w:pos="1134"/>
          <w:tab w:val="num" w:pos="360"/>
        </w:tabs>
        <w:spacing w:before="60"/>
        <w:ind w:left="360"/>
        <w:rPr>
          <w:lang w:val="fr-CH"/>
        </w:rPr>
      </w:pPr>
      <w:r w:rsidRPr="00DD17D1">
        <w:rPr>
          <w:lang w:val="fr-CH"/>
        </w:rPr>
        <w:t xml:space="preserve">Désignation du projet informatique </w:t>
      </w:r>
    </w:p>
    <w:p w:rsidR="00940103" w:rsidRPr="00DD17D1" w:rsidRDefault="00BD2802">
      <w:pPr>
        <w:pStyle w:val="AufzhlungPunkt"/>
        <w:numPr>
          <w:ilvl w:val="0"/>
          <w:numId w:val="4"/>
        </w:numPr>
        <w:tabs>
          <w:tab w:val="clear" w:pos="720"/>
          <w:tab w:val="clear" w:pos="1134"/>
          <w:tab w:val="num" w:pos="360"/>
        </w:tabs>
        <w:spacing w:before="60"/>
        <w:ind w:left="360"/>
        <w:rPr>
          <w:lang w:val="fr-CH"/>
        </w:rPr>
      </w:pPr>
      <w:r w:rsidRPr="00DD17D1">
        <w:rPr>
          <w:lang w:val="fr-CH"/>
        </w:rPr>
        <w:t xml:space="preserve">Service communal compétent </w:t>
      </w:r>
    </w:p>
    <w:p w:rsidR="00940103" w:rsidRPr="00DD17D1" w:rsidRDefault="00BD2802">
      <w:pPr>
        <w:pStyle w:val="AufzhlungPunkt"/>
        <w:numPr>
          <w:ilvl w:val="0"/>
          <w:numId w:val="4"/>
        </w:numPr>
        <w:tabs>
          <w:tab w:val="clear" w:pos="720"/>
          <w:tab w:val="clear" w:pos="1134"/>
          <w:tab w:val="num" w:pos="360"/>
        </w:tabs>
        <w:spacing w:before="60"/>
        <w:ind w:left="360"/>
        <w:rPr>
          <w:lang w:val="fr-CH"/>
        </w:rPr>
      </w:pPr>
      <w:r w:rsidRPr="00DD17D1">
        <w:rPr>
          <w:lang w:val="fr-CH"/>
        </w:rPr>
        <w:t>Responsable du projet</w:t>
      </w:r>
      <w:r w:rsidR="00FD10D3">
        <w:rPr>
          <w:lang w:val="fr-CH"/>
        </w:rPr>
        <w:t xml:space="preserve"> (nom et </w:t>
      </w:r>
      <w:r w:rsidRPr="00DD17D1">
        <w:rPr>
          <w:lang w:val="fr-CH"/>
        </w:rPr>
        <w:t>coordonnées</w:t>
      </w:r>
      <w:r w:rsidR="00FD10D3">
        <w:rPr>
          <w:lang w:val="fr-CH"/>
        </w:rPr>
        <w:t xml:space="preserve">) </w:t>
      </w:r>
    </w:p>
    <w:p w:rsidR="00940103" w:rsidRPr="00DD17D1" w:rsidRDefault="00940103">
      <w:pPr>
        <w:pStyle w:val="AufzhlungPunkt"/>
        <w:numPr>
          <w:ilvl w:val="0"/>
          <w:numId w:val="4"/>
        </w:numPr>
        <w:tabs>
          <w:tab w:val="clear" w:pos="720"/>
          <w:tab w:val="clear" w:pos="1134"/>
          <w:tab w:val="num" w:pos="360"/>
        </w:tabs>
        <w:spacing w:before="60"/>
        <w:ind w:left="360"/>
        <w:rPr>
          <w:lang w:val="fr-CH"/>
        </w:rPr>
      </w:pPr>
      <w:r w:rsidRPr="00DD17D1">
        <w:rPr>
          <w:lang w:val="fr-CH"/>
        </w:rPr>
        <w:t>Version/</w:t>
      </w:r>
      <w:r w:rsidR="00BD2802" w:rsidRPr="00DD17D1">
        <w:rPr>
          <w:lang w:val="fr-CH"/>
        </w:rPr>
        <w:t>date</w:t>
      </w:r>
      <w:r w:rsidRPr="00DD17D1">
        <w:rPr>
          <w:lang w:val="fr-CH"/>
        </w:rPr>
        <w:t xml:space="preserve"> (</w:t>
      </w:r>
      <w:r w:rsidR="00BD2802" w:rsidRPr="00DD17D1">
        <w:rPr>
          <w:lang w:val="fr-CH"/>
        </w:rPr>
        <w:t>contrôle des versions)</w:t>
      </w:r>
    </w:p>
    <w:p w:rsidR="00940103" w:rsidRPr="00DD17D1" w:rsidRDefault="00940103">
      <w:pPr>
        <w:pStyle w:val="AufzhlungPunkt"/>
        <w:numPr>
          <w:ilvl w:val="0"/>
          <w:numId w:val="4"/>
        </w:numPr>
        <w:tabs>
          <w:tab w:val="clear" w:pos="720"/>
          <w:tab w:val="clear" w:pos="1134"/>
          <w:tab w:val="num" w:pos="360"/>
        </w:tabs>
        <w:spacing w:before="60"/>
        <w:ind w:left="360"/>
        <w:rPr>
          <w:lang w:val="fr-CH"/>
        </w:rPr>
      </w:pPr>
      <w:r w:rsidRPr="00DD17D1">
        <w:rPr>
          <w:lang w:val="fr-CH"/>
        </w:rPr>
        <w:t>Vis</w:t>
      </w:r>
      <w:r w:rsidR="00BD2802" w:rsidRPr="00DD17D1">
        <w:rPr>
          <w:lang w:val="fr-CH"/>
        </w:rPr>
        <w:t xml:space="preserve">a du mandant </w:t>
      </w:r>
    </w:p>
    <w:p w:rsidR="00940103" w:rsidRPr="00DD17D1" w:rsidRDefault="00940103">
      <w:pPr>
        <w:pBdr>
          <w:bottom w:val="single" w:sz="4" w:space="1" w:color="auto"/>
        </w:pBdr>
        <w:rPr>
          <w:lang w:val="fr-CH"/>
        </w:rPr>
      </w:pPr>
    </w:p>
    <w:p w:rsidR="00940103" w:rsidRPr="00DD17D1" w:rsidRDefault="00940103">
      <w:pPr>
        <w:pStyle w:val="Titel3"/>
        <w:spacing w:before="240"/>
        <w:rPr>
          <w:lang w:val="fr-CH"/>
        </w:rPr>
      </w:pPr>
      <w:r w:rsidRPr="00DD17D1">
        <w:rPr>
          <w:lang w:val="fr-CH"/>
        </w:rPr>
        <w:t xml:space="preserve">1. </w:t>
      </w:r>
      <w:r w:rsidR="00FD10D3">
        <w:rPr>
          <w:lang w:val="fr-CH"/>
        </w:rPr>
        <w:t xml:space="preserve">Données relatives au </w:t>
      </w:r>
      <w:r w:rsidR="00BD2802" w:rsidRPr="00DD17D1">
        <w:rPr>
          <w:lang w:val="fr-CH"/>
        </w:rPr>
        <w:t xml:space="preserve">projet </w:t>
      </w:r>
    </w:p>
    <w:p w:rsidR="00403331" w:rsidRPr="00DD17D1" w:rsidRDefault="00403331" w:rsidP="005F00A7">
      <w:pPr>
        <w:tabs>
          <w:tab w:val="left" w:pos="360"/>
        </w:tabs>
        <w:rPr>
          <w:lang w:val="fr-CH"/>
        </w:rPr>
      </w:pPr>
      <w:r w:rsidRPr="00DD17D1">
        <w:rPr>
          <w:lang w:val="fr-CH"/>
        </w:rPr>
        <w:tab/>
        <w:t>(</w:t>
      </w:r>
      <w:r w:rsidR="00BD2802" w:rsidRPr="00DD17D1">
        <w:rPr>
          <w:lang w:val="fr-CH"/>
        </w:rPr>
        <w:t>Il est aussi possible de se référer à des documents existants</w:t>
      </w:r>
      <w:r w:rsidR="00FD10D3">
        <w:rPr>
          <w:lang w:val="fr-CH"/>
        </w:rPr>
        <w:t>.</w:t>
      </w:r>
      <w:r w:rsidR="00BD2802" w:rsidRPr="00DD17D1">
        <w:rPr>
          <w:lang w:val="fr-CH"/>
        </w:rPr>
        <w:t>)</w:t>
      </w:r>
    </w:p>
    <w:p w:rsidR="00940103" w:rsidRPr="00DD17D1" w:rsidRDefault="00940103">
      <w:pPr>
        <w:pStyle w:val="AufzhlungPunkt"/>
        <w:tabs>
          <w:tab w:val="clear" w:pos="1134"/>
          <w:tab w:val="left" w:pos="567"/>
        </w:tabs>
        <w:ind w:left="567" w:hanging="283"/>
        <w:rPr>
          <w:lang w:val="fr-CH"/>
        </w:rPr>
      </w:pPr>
      <w:r w:rsidRPr="00DD17D1">
        <w:rPr>
          <w:lang w:val="fr-CH"/>
        </w:rPr>
        <w:t>De</w:t>
      </w:r>
      <w:r w:rsidR="00BD2802" w:rsidRPr="00DD17D1">
        <w:rPr>
          <w:lang w:val="fr-CH"/>
        </w:rPr>
        <w:t>scription détaillée du ou des processus qui doit ou doivent être soutenus au moyen de la solution informatique prévue</w:t>
      </w:r>
      <w:r w:rsidRPr="00DD17D1">
        <w:rPr>
          <w:lang w:val="fr-CH"/>
        </w:rPr>
        <w:t>.</w:t>
      </w:r>
    </w:p>
    <w:p w:rsidR="00940103" w:rsidRPr="00DD17D1" w:rsidRDefault="00BD2802">
      <w:pPr>
        <w:pStyle w:val="AufzhlungPunkt"/>
        <w:tabs>
          <w:tab w:val="clear" w:pos="1134"/>
          <w:tab w:val="left" w:pos="567"/>
        </w:tabs>
        <w:ind w:left="567" w:hanging="283"/>
        <w:rPr>
          <w:lang w:val="fr-CH"/>
        </w:rPr>
      </w:pPr>
      <w:r w:rsidRPr="00DD17D1">
        <w:rPr>
          <w:lang w:val="fr-CH"/>
        </w:rPr>
        <w:t>Description des interfaces de données et de résultats, en particulier des accès en ligne pour les tiers (procédure d’appel)</w:t>
      </w:r>
    </w:p>
    <w:p w:rsidR="00940103" w:rsidRPr="00DD17D1" w:rsidRDefault="00BD2802">
      <w:pPr>
        <w:pStyle w:val="AufzhlungPunkt"/>
        <w:tabs>
          <w:tab w:val="clear" w:pos="1134"/>
          <w:tab w:val="left" w:pos="567"/>
        </w:tabs>
        <w:ind w:left="567" w:hanging="283"/>
        <w:rPr>
          <w:lang w:val="fr-CH"/>
        </w:rPr>
      </w:pPr>
      <w:r w:rsidRPr="00DD17D1">
        <w:rPr>
          <w:lang w:val="fr-CH"/>
        </w:rPr>
        <w:t xml:space="preserve">Description de la solution ou des solutions </w:t>
      </w:r>
      <w:r w:rsidR="006A53A6">
        <w:rPr>
          <w:lang w:val="fr-CH"/>
        </w:rPr>
        <w:t xml:space="preserve">informatiques </w:t>
      </w:r>
      <w:r w:rsidRPr="00DD17D1">
        <w:rPr>
          <w:lang w:val="fr-CH"/>
        </w:rPr>
        <w:t>à disposition</w:t>
      </w:r>
    </w:p>
    <w:p w:rsidR="00940103" w:rsidRPr="00DD17D1" w:rsidRDefault="00940103">
      <w:pPr>
        <w:pStyle w:val="Titel3"/>
        <w:spacing w:before="240"/>
        <w:rPr>
          <w:lang w:val="fr-CH"/>
        </w:rPr>
      </w:pPr>
      <w:r w:rsidRPr="00DD17D1">
        <w:rPr>
          <w:lang w:val="fr-CH"/>
        </w:rPr>
        <w:t xml:space="preserve">2. </w:t>
      </w:r>
      <w:r w:rsidR="00BD2802" w:rsidRPr="00DD17D1">
        <w:rPr>
          <w:lang w:val="fr-CH"/>
        </w:rPr>
        <w:t xml:space="preserve">Protection des données </w:t>
      </w:r>
    </w:p>
    <w:p w:rsidR="001578FE" w:rsidRPr="00DD17D1" w:rsidRDefault="001578FE">
      <w:pPr>
        <w:pStyle w:val="AufzhlungPunkt"/>
        <w:tabs>
          <w:tab w:val="clear" w:pos="1134"/>
          <w:tab w:val="left" w:pos="567"/>
        </w:tabs>
        <w:ind w:left="567" w:hanging="283"/>
        <w:rPr>
          <w:lang w:val="fr-CH"/>
        </w:rPr>
      </w:pPr>
      <w:r w:rsidRPr="00DD17D1">
        <w:rPr>
          <w:lang w:val="fr-CH"/>
        </w:rPr>
        <w:t>Enumération des bases légales déterminantes pour le ou les processus, en particulier celles qui autorisent les accès en ligne de tiers (procédure d’appel), voir la liste de contrôle sur l’évaluation de la protection des données</w:t>
      </w:r>
    </w:p>
    <w:p w:rsidR="00940103" w:rsidRPr="00DD17D1" w:rsidRDefault="00AA685E">
      <w:pPr>
        <w:pStyle w:val="AufzhlungPunkt"/>
        <w:tabs>
          <w:tab w:val="clear" w:pos="1134"/>
          <w:tab w:val="left" w:pos="567"/>
        </w:tabs>
        <w:ind w:left="567" w:hanging="283"/>
        <w:rPr>
          <w:lang w:val="fr-CH"/>
        </w:rPr>
      </w:pPr>
      <w:r w:rsidRPr="00DD17D1">
        <w:rPr>
          <w:lang w:val="fr-CH"/>
        </w:rPr>
        <w:t xml:space="preserve">Le cas échéant, explications sur les possibilités de parvenir à créer ou à compléter les bases légales absentes ou insuffisantes d’ici la mise en service du système </w:t>
      </w:r>
    </w:p>
    <w:p w:rsidR="00940103" w:rsidRPr="00DD17D1" w:rsidRDefault="00AA685E">
      <w:pPr>
        <w:pStyle w:val="AufzhlungPunkt"/>
        <w:tabs>
          <w:tab w:val="clear" w:pos="1134"/>
          <w:tab w:val="left" w:pos="567"/>
        </w:tabs>
        <w:ind w:left="567" w:hanging="283"/>
        <w:rPr>
          <w:lang w:val="fr-CH"/>
        </w:rPr>
      </w:pPr>
      <w:r w:rsidRPr="00DD17D1">
        <w:rPr>
          <w:lang w:val="fr-CH"/>
        </w:rPr>
        <w:t>Archivage et destruction des données</w:t>
      </w:r>
    </w:p>
    <w:p w:rsidR="00940103" w:rsidRPr="00DD17D1" w:rsidRDefault="00AA685E">
      <w:pPr>
        <w:pStyle w:val="AufzhlungPunkt"/>
        <w:tabs>
          <w:tab w:val="clear" w:pos="1134"/>
          <w:tab w:val="left" w:pos="567"/>
        </w:tabs>
        <w:ind w:left="567" w:hanging="283"/>
        <w:rPr>
          <w:lang w:val="fr-CH"/>
        </w:rPr>
      </w:pPr>
      <w:r w:rsidRPr="00DD17D1">
        <w:rPr>
          <w:lang w:val="fr-CH"/>
        </w:rPr>
        <w:t>Description des procédures à même de garantir les droits à la protection des données</w:t>
      </w:r>
      <w:r w:rsidR="006B3D3C">
        <w:rPr>
          <w:lang w:val="fr-CH"/>
        </w:rPr>
        <w:t xml:space="preserve"> </w:t>
      </w:r>
      <w:r w:rsidR="006B3D3C" w:rsidRPr="00DD17D1">
        <w:rPr>
          <w:lang w:val="fr-CH"/>
        </w:rPr>
        <w:t>des personnes concernées</w:t>
      </w:r>
      <w:r w:rsidRPr="00DD17D1">
        <w:rPr>
          <w:lang w:val="fr-CH"/>
        </w:rPr>
        <w:t xml:space="preserve"> </w:t>
      </w:r>
      <w:r w:rsidR="00940103" w:rsidRPr="006B3D3C">
        <w:rPr>
          <w:lang w:val="fr-CH"/>
        </w:rPr>
        <w:t>(</w:t>
      </w:r>
      <w:r w:rsidR="006B3D3C" w:rsidRPr="006B3D3C">
        <w:rPr>
          <w:lang w:val="fr-CH"/>
        </w:rPr>
        <w:t>information</w:t>
      </w:r>
      <w:r w:rsidR="00940103" w:rsidRPr="006B3D3C">
        <w:rPr>
          <w:lang w:val="fr-CH"/>
        </w:rPr>
        <w:t>/</w:t>
      </w:r>
      <w:r w:rsidRPr="006B3D3C">
        <w:rPr>
          <w:lang w:val="fr-CH"/>
        </w:rPr>
        <w:t>consultation</w:t>
      </w:r>
      <w:r w:rsidR="00940103" w:rsidRPr="00DD17D1">
        <w:rPr>
          <w:lang w:val="fr-CH"/>
        </w:rPr>
        <w:t xml:space="preserve">, </w:t>
      </w:r>
      <w:r w:rsidRPr="00DD17D1">
        <w:rPr>
          <w:lang w:val="fr-CH"/>
        </w:rPr>
        <w:t>rectification et blocage).</w:t>
      </w:r>
    </w:p>
    <w:p w:rsidR="0016511E" w:rsidRPr="00DD17D1" w:rsidRDefault="00C535CC" w:rsidP="0016511E">
      <w:pPr>
        <w:pStyle w:val="AufzhlungPunkt"/>
        <w:tabs>
          <w:tab w:val="clear" w:pos="1134"/>
          <w:tab w:val="left" w:pos="567"/>
        </w:tabs>
        <w:ind w:left="567" w:hanging="283"/>
        <w:rPr>
          <w:lang w:val="fr-CH"/>
        </w:rPr>
      </w:pPr>
      <w:r>
        <w:rPr>
          <w:lang w:val="fr-CH"/>
        </w:rPr>
        <w:t xml:space="preserve">Concept des </w:t>
      </w:r>
      <w:r w:rsidR="008B35D7">
        <w:rPr>
          <w:lang w:val="fr-CH"/>
        </w:rPr>
        <w:t xml:space="preserve">droits d’utilisateur </w:t>
      </w:r>
      <w:r w:rsidR="008E4AA1">
        <w:rPr>
          <w:lang w:val="fr-CH"/>
        </w:rPr>
        <w:t>du système</w:t>
      </w:r>
      <w:r w:rsidR="008E4AA1" w:rsidRPr="00DD17D1">
        <w:rPr>
          <w:lang w:val="fr-CH"/>
        </w:rPr>
        <w:t xml:space="preserve"> </w:t>
      </w:r>
    </w:p>
    <w:p w:rsidR="00940103" w:rsidRPr="00FD10D3" w:rsidRDefault="00FB0FA9">
      <w:pPr>
        <w:pStyle w:val="AufzhlungPunkt"/>
        <w:tabs>
          <w:tab w:val="clear" w:pos="1134"/>
          <w:tab w:val="left" w:pos="567"/>
        </w:tabs>
        <w:ind w:left="567" w:hanging="283"/>
        <w:rPr>
          <w:lang w:val="fr-FR"/>
        </w:rPr>
      </w:pPr>
      <w:r>
        <w:rPr>
          <w:lang w:val="fr-FR"/>
        </w:rPr>
        <w:t xml:space="preserve">Remise </w:t>
      </w:r>
      <w:r w:rsidR="00FD10D3" w:rsidRPr="00FD10D3">
        <w:rPr>
          <w:lang w:val="fr-FR"/>
        </w:rPr>
        <w:t xml:space="preserve">du fichier ou </w:t>
      </w:r>
      <w:r w:rsidR="00940103" w:rsidRPr="00FD10D3">
        <w:rPr>
          <w:lang w:val="fr-FR"/>
        </w:rPr>
        <w:t>de</w:t>
      </w:r>
      <w:r w:rsidR="00C535CC" w:rsidRPr="00FD10D3">
        <w:rPr>
          <w:lang w:val="fr-FR"/>
        </w:rPr>
        <w:t xml:space="preserve">s fichiers </w:t>
      </w:r>
      <w:r>
        <w:rPr>
          <w:lang w:val="fr-FR"/>
        </w:rPr>
        <w:t xml:space="preserve">à </w:t>
      </w:r>
      <w:r w:rsidR="00FD10D3" w:rsidRPr="00FD10D3">
        <w:rPr>
          <w:lang w:val="fr-FR"/>
        </w:rPr>
        <w:t>l’autorité de surveillance de la protection des données</w:t>
      </w:r>
      <w:r w:rsidR="00940103" w:rsidRPr="00FD10D3">
        <w:rPr>
          <w:lang w:val="fr-FR"/>
        </w:rPr>
        <w:t xml:space="preserve"> (</w:t>
      </w:r>
      <w:r w:rsidR="00FD10D3" w:rsidRPr="00FD10D3">
        <w:rPr>
          <w:lang w:val="fr-FR"/>
        </w:rPr>
        <w:t xml:space="preserve">sous forme de </w:t>
      </w:r>
      <w:r>
        <w:rPr>
          <w:lang w:val="fr-FR"/>
        </w:rPr>
        <w:t>pièce jointe</w:t>
      </w:r>
      <w:r w:rsidR="00940103" w:rsidRPr="00FD10D3">
        <w:rPr>
          <w:lang w:val="fr-FR"/>
        </w:rPr>
        <w:t>).</w:t>
      </w:r>
    </w:p>
    <w:p w:rsidR="00940103" w:rsidRPr="00DD17D1" w:rsidRDefault="00940103">
      <w:pPr>
        <w:pStyle w:val="Titel3"/>
        <w:spacing w:before="240"/>
        <w:rPr>
          <w:lang w:val="fr-CH"/>
        </w:rPr>
      </w:pPr>
      <w:r w:rsidRPr="00DD17D1">
        <w:rPr>
          <w:lang w:val="fr-CH"/>
        </w:rPr>
        <w:t xml:space="preserve">3. </w:t>
      </w:r>
      <w:r w:rsidR="001578FE" w:rsidRPr="00DD17D1">
        <w:rPr>
          <w:lang w:val="fr-CH"/>
        </w:rPr>
        <w:t>S</w:t>
      </w:r>
      <w:r w:rsidR="006A53A6">
        <w:rPr>
          <w:lang w:val="fr-CH"/>
        </w:rPr>
        <w:t xml:space="preserve">écurité </w:t>
      </w:r>
      <w:r w:rsidR="00FD10D3">
        <w:rPr>
          <w:lang w:val="fr-CH"/>
        </w:rPr>
        <w:t xml:space="preserve">de </w:t>
      </w:r>
      <w:r w:rsidR="001578FE" w:rsidRPr="00DD17D1">
        <w:rPr>
          <w:lang w:val="fr-CH"/>
        </w:rPr>
        <w:t xml:space="preserve">l’information </w:t>
      </w:r>
    </w:p>
    <w:p w:rsidR="00841CEF" w:rsidRPr="00DD17D1" w:rsidRDefault="001578FE" w:rsidP="00712CA4">
      <w:pPr>
        <w:pStyle w:val="AufzhlungPunkt"/>
        <w:numPr>
          <w:ilvl w:val="0"/>
          <w:numId w:val="0"/>
        </w:numPr>
        <w:tabs>
          <w:tab w:val="clear" w:pos="1134"/>
          <w:tab w:val="left" w:pos="567"/>
        </w:tabs>
        <w:ind w:left="284"/>
        <w:rPr>
          <w:lang w:val="fr-CH"/>
        </w:rPr>
      </w:pPr>
      <w:r w:rsidRPr="00DD17D1">
        <w:rPr>
          <w:lang w:val="fr-CH"/>
        </w:rPr>
        <w:t xml:space="preserve">Protection de base </w:t>
      </w:r>
    </w:p>
    <w:p w:rsidR="00C767A8" w:rsidRPr="00DD17D1" w:rsidRDefault="00C767A8" w:rsidP="00712CA4">
      <w:pPr>
        <w:pStyle w:val="AufzhlungPunkt"/>
        <w:numPr>
          <w:ilvl w:val="0"/>
          <w:numId w:val="0"/>
        </w:numPr>
        <w:tabs>
          <w:tab w:val="clear" w:pos="1134"/>
          <w:tab w:val="left" w:pos="567"/>
        </w:tabs>
        <w:ind w:left="284"/>
        <w:rPr>
          <w:lang w:val="fr-CH"/>
        </w:rPr>
      </w:pPr>
      <w:r w:rsidRPr="00DD17D1">
        <w:rPr>
          <w:lang w:val="fr-CH"/>
        </w:rPr>
        <w:t>Il s’agit d’exposer, au moyen de la liste de contrôle sur la protection de base</w:t>
      </w:r>
      <w:r w:rsidRPr="00DD17D1">
        <w:rPr>
          <w:rStyle w:val="Funotenzeichen"/>
          <w:lang w:val="fr-CH"/>
        </w:rPr>
        <w:footnoteReference w:id="1"/>
      </w:r>
      <w:r w:rsidRPr="00DD17D1">
        <w:rPr>
          <w:lang w:val="fr-CH"/>
        </w:rPr>
        <w:t>, les risques fo</w:t>
      </w:r>
      <w:r w:rsidRPr="00DD17D1">
        <w:rPr>
          <w:lang w:val="fr-CH"/>
        </w:rPr>
        <w:t>n</w:t>
      </w:r>
      <w:r w:rsidRPr="00DD17D1">
        <w:rPr>
          <w:lang w:val="fr-CH"/>
        </w:rPr>
        <w:t xml:space="preserve">damentaux liés à l’infrastructure et </w:t>
      </w:r>
      <w:r w:rsidR="00FB0FA9">
        <w:rPr>
          <w:lang w:val="fr-CH"/>
        </w:rPr>
        <w:t xml:space="preserve">à </w:t>
      </w:r>
      <w:r w:rsidRPr="00DD17D1">
        <w:rPr>
          <w:lang w:val="fr-CH"/>
        </w:rPr>
        <w:t xml:space="preserve">la gestion des données et des utilisateurs ainsi que les mesures qui ont été prises </w:t>
      </w:r>
      <w:r w:rsidR="00FD10D3">
        <w:rPr>
          <w:lang w:val="fr-CH"/>
        </w:rPr>
        <w:t xml:space="preserve">en vue de </w:t>
      </w:r>
      <w:r w:rsidRPr="00DD17D1">
        <w:rPr>
          <w:lang w:val="fr-CH"/>
        </w:rPr>
        <w:t>garantir la protection de base</w:t>
      </w:r>
      <w:r w:rsidR="006A53A6">
        <w:rPr>
          <w:lang w:val="fr-CH"/>
        </w:rPr>
        <w:t>.</w:t>
      </w:r>
      <w:r w:rsidRPr="00DD17D1">
        <w:rPr>
          <w:lang w:val="fr-CH"/>
        </w:rPr>
        <w:t xml:space="preserve"> </w:t>
      </w:r>
    </w:p>
    <w:p w:rsidR="002D38B9" w:rsidRPr="00DD17D1" w:rsidRDefault="002D38B9" w:rsidP="002D38B9">
      <w:pPr>
        <w:rPr>
          <w:lang w:val="fr-CH"/>
        </w:rPr>
      </w:pPr>
    </w:p>
    <w:p w:rsidR="005F00A7" w:rsidRDefault="005F00A7" w:rsidP="00712CA4">
      <w:pPr>
        <w:pStyle w:val="AufzhlungPunkt"/>
        <w:numPr>
          <w:ilvl w:val="0"/>
          <w:numId w:val="0"/>
        </w:numPr>
        <w:tabs>
          <w:tab w:val="clear" w:pos="1134"/>
          <w:tab w:val="left" w:pos="567"/>
        </w:tabs>
        <w:ind w:left="284"/>
        <w:rPr>
          <w:lang w:val="fr-CH"/>
        </w:rPr>
      </w:pPr>
    </w:p>
    <w:p w:rsidR="005F00A7" w:rsidRDefault="005F00A7" w:rsidP="00712CA4">
      <w:pPr>
        <w:pStyle w:val="AufzhlungPunkt"/>
        <w:numPr>
          <w:ilvl w:val="0"/>
          <w:numId w:val="0"/>
        </w:numPr>
        <w:tabs>
          <w:tab w:val="clear" w:pos="1134"/>
          <w:tab w:val="left" w:pos="567"/>
        </w:tabs>
        <w:ind w:left="284"/>
        <w:rPr>
          <w:lang w:val="fr-CH"/>
        </w:rPr>
      </w:pPr>
    </w:p>
    <w:p w:rsidR="00841CEF" w:rsidRPr="00DD17D1" w:rsidRDefault="001578FE" w:rsidP="00712CA4">
      <w:pPr>
        <w:pStyle w:val="AufzhlungPunkt"/>
        <w:numPr>
          <w:ilvl w:val="0"/>
          <w:numId w:val="0"/>
        </w:numPr>
        <w:tabs>
          <w:tab w:val="clear" w:pos="1134"/>
          <w:tab w:val="left" w:pos="567"/>
        </w:tabs>
        <w:ind w:left="284"/>
        <w:rPr>
          <w:lang w:val="fr-CH"/>
        </w:rPr>
      </w:pPr>
      <w:r w:rsidRPr="00FB0FA9">
        <w:rPr>
          <w:lang w:val="fr-CH"/>
        </w:rPr>
        <w:lastRenderedPageBreak/>
        <w:t xml:space="preserve">Besoin de protection accru </w:t>
      </w:r>
      <w:r w:rsidR="00841CEF" w:rsidRPr="00FB0FA9">
        <w:rPr>
          <w:lang w:val="fr-CH"/>
        </w:rPr>
        <w:t xml:space="preserve">/ </w:t>
      </w:r>
      <w:r w:rsidRPr="00FB0FA9">
        <w:rPr>
          <w:lang w:val="fr-CH"/>
        </w:rPr>
        <w:t>protection de l’application</w:t>
      </w:r>
      <w:r w:rsidRPr="00DD17D1">
        <w:rPr>
          <w:lang w:val="fr-CH"/>
        </w:rPr>
        <w:t xml:space="preserve"> </w:t>
      </w:r>
    </w:p>
    <w:p w:rsidR="00E96933" w:rsidRPr="00DD17D1" w:rsidRDefault="00FB0FA9" w:rsidP="00712CA4">
      <w:pPr>
        <w:pStyle w:val="AufzhlungPunkt"/>
        <w:numPr>
          <w:ilvl w:val="0"/>
          <w:numId w:val="0"/>
        </w:numPr>
        <w:tabs>
          <w:tab w:val="clear" w:pos="1134"/>
          <w:tab w:val="left" w:pos="567"/>
        </w:tabs>
        <w:ind w:left="284"/>
        <w:rPr>
          <w:highlight w:val="yellow"/>
          <w:lang w:val="fr-CH"/>
        </w:rPr>
      </w:pPr>
      <w:r w:rsidRPr="00FB0FA9">
        <w:rPr>
          <w:lang w:val="fr-FR"/>
        </w:rPr>
        <w:t>Il convient ensuite d</w:t>
      </w:r>
      <w:r w:rsidR="006A53A6">
        <w:rPr>
          <w:lang w:val="fr-FR"/>
        </w:rPr>
        <w:t xml:space="preserve">e préciser </w:t>
      </w:r>
      <w:r w:rsidRPr="00FB0FA9">
        <w:rPr>
          <w:lang w:val="fr-FR"/>
        </w:rPr>
        <w:t xml:space="preserve">s’il existe un besoin de protection accru, dépassant la protection de base, et quelles mesures sont prises à cet égard. </w:t>
      </w:r>
      <w:r w:rsidR="00CF55BC">
        <w:rPr>
          <w:lang w:val="fr-FR"/>
        </w:rPr>
        <w:t>L’évaluation des risques fournit des i</w:t>
      </w:r>
      <w:r w:rsidR="00CF55BC">
        <w:rPr>
          <w:lang w:val="fr-FR"/>
        </w:rPr>
        <w:t>n</w:t>
      </w:r>
      <w:r w:rsidR="00CF55BC">
        <w:rPr>
          <w:lang w:val="fr-FR"/>
        </w:rPr>
        <w:t>dices utiles.</w:t>
      </w:r>
    </w:p>
    <w:p w:rsidR="00E96933" w:rsidRPr="00DD17D1" w:rsidRDefault="00FB0FA9" w:rsidP="00E96933">
      <w:pPr>
        <w:ind w:firstLine="284"/>
        <w:rPr>
          <w:lang w:val="fr-CH"/>
        </w:rPr>
      </w:pPr>
      <w:r>
        <w:rPr>
          <w:lang w:val="fr-CH"/>
        </w:rPr>
        <w:t>L’évaluation des risques pour une application comprend les points suivants</w:t>
      </w:r>
      <w:r w:rsidR="00E96933" w:rsidRPr="00DD17D1">
        <w:rPr>
          <w:lang w:val="fr-CH"/>
        </w:rPr>
        <w:t>:</w:t>
      </w:r>
    </w:p>
    <w:p w:rsidR="00E96933" w:rsidRPr="00CF55BC" w:rsidRDefault="00CF55BC" w:rsidP="00E96933">
      <w:pPr>
        <w:numPr>
          <w:ilvl w:val="1"/>
          <w:numId w:val="6"/>
        </w:numPr>
        <w:spacing w:line="360" w:lineRule="auto"/>
        <w:rPr>
          <w:lang w:val="fr-CH"/>
        </w:rPr>
      </w:pPr>
      <w:r w:rsidRPr="00CF55BC">
        <w:rPr>
          <w:lang w:val="fr-CH"/>
        </w:rPr>
        <w:t xml:space="preserve">Une </w:t>
      </w:r>
      <w:r w:rsidRPr="00CF55BC">
        <w:rPr>
          <w:i/>
          <w:lang w:val="fr-CH"/>
        </w:rPr>
        <w:t xml:space="preserve">analyse de la valeur de l’information </w:t>
      </w:r>
      <w:r w:rsidRPr="00CF55BC">
        <w:rPr>
          <w:lang w:val="fr-CH"/>
        </w:rPr>
        <w:t>révèle quels dommages matériels na</w:t>
      </w:r>
      <w:r w:rsidRPr="00CF55BC">
        <w:rPr>
          <w:lang w:val="fr-CH"/>
        </w:rPr>
        <w:t>î</w:t>
      </w:r>
      <w:r w:rsidRPr="00CF55BC">
        <w:rPr>
          <w:lang w:val="fr-CH"/>
        </w:rPr>
        <w:t>traient en cas de perte partielle ou totale des informations.</w:t>
      </w:r>
    </w:p>
    <w:p w:rsidR="00E96933" w:rsidRPr="00CF55BC" w:rsidRDefault="00CF55BC" w:rsidP="00E96933">
      <w:pPr>
        <w:numPr>
          <w:ilvl w:val="1"/>
          <w:numId w:val="6"/>
        </w:numPr>
        <w:spacing w:line="360" w:lineRule="auto"/>
        <w:rPr>
          <w:lang w:val="fr-CH"/>
        </w:rPr>
      </w:pPr>
      <w:r w:rsidRPr="00CF55BC">
        <w:rPr>
          <w:lang w:val="fr-CH"/>
        </w:rPr>
        <w:t xml:space="preserve">Une </w:t>
      </w:r>
      <w:r w:rsidRPr="00CF55BC">
        <w:rPr>
          <w:i/>
          <w:lang w:val="fr-CH"/>
        </w:rPr>
        <w:t xml:space="preserve">analyse des menaces </w:t>
      </w:r>
      <w:r w:rsidRPr="00CF55BC">
        <w:rPr>
          <w:lang w:val="fr-CH"/>
        </w:rPr>
        <w:t xml:space="preserve">permet de déterminer qui, le cas échéant, pourrait avoir un intérêt à un accès (illégal) aux informations </w:t>
      </w:r>
      <w:r>
        <w:rPr>
          <w:lang w:val="fr-CH"/>
        </w:rPr>
        <w:t>et</w:t>
      </w:r>
      <w:r w:rsidR="00B724A0">
        <w:rPr>
          <w:lang w:val="fr-CH"/>
        </w:rPr>
        <w:t xml:space="preserve"> quel potentiel criminel une utilis</w:t>
      </w:r>
      <w:r w:rsidR="00B724A0">
        <w:rPr>
          <w:lang w:val="fr-CH"/>
        </w:rPr>
        <w:t>a</w:t>
      </w:r>
      <w:r w:rsidR="00B724A0">
        <w:rPr>
          <w:lang w:val="fr-CH"/>
        </w:rPr>
        <w:t>tion abusive des informations pourrait représenter.</w:t>
      </w:r>
    </w:p>
    <w:p w:rsidR="00E96933" w:rsidRPr="00B724A0" w:rsidRDefault="00B724A0" w:rsidP="00E96933">
      <w:pPr>
        <w:numPr>
          <w:ilvl w:val="1"/>
          <w:numId w:val="6"/>
        </w:numPr>
        <w:spacing w:line="360" w:lineRule="auto"/>
        <w:rPr>
          <w:lang w:val="fr-FR"/>
        </w:rPr>
      </w:pPr>
      <w:r w:rsidRPr="00B724A0">
        <w:rPr>
          <w:lang w:val="fr-FR"/>
        </w:rPr>
        <w:t xml:space="preserve">Une </w:t>
      </w:r>
      <w:r w:rsidRPr="00B724A0">
        <w:rPr>
          <w:i/>
          <w:lang w:val="fr-FR"/>
        </w:rPr>
        <w:t>cl</w:t>
      </w:r>
      <w:r w:rsidR="00E96933" w:rsidRPr="00B724A0">
        <w:rPr>
          <w:i/>
          <w:lang w:val="fr-FR"/>
        </w:rPr>
        <w:t>assifi</w:t>
      </w:r>
      <w:r w:rsidRPr="00B724A0">
        <w:rPr>
          <w:i/>
          <w:lang w:val="fr-FR"/>
        </w:rPr>
        <w:t xml:space="preserve">cation </w:t>
      </w:r>
      <w:r>
        <w:rPr>
          <w:lang w:val="fr-FR"/>
        </w:rPr>
        <w:t xml:space="preserve">fournit </w:t>
      </w:r>
      <w:r w:rsidRPr="00B724A0">
        <w:rPr>
          <w:lang w:val="fr-FR"/>
        </w:rPr>
        <w:t>le rang auquel l’application se situe du point de vue de la disponibilité et de la confidentialité des données.</w:t>
      </w:r>
    </w:p>
    <w:p w:rsidR="00940103" w:rsidRPr="00DD17D1" w:rsidRDefault="00BA4714">
      <w:pPr>
        <w:pStyle w:val="Titel3"/>
        <w:spacing w:before="240"/>
        <w:rPr>
          <w:lang w:val="fr-CH"/>
        </w:rPr>
      </w:pPr>
      <w:r w:rsidRPr="00DD17D1">
        <w:rPr>
          <w:lang w:val="fr-CH"/>
        </w:rPr>
        <w:t>4</w:t>
      </w:r>
      <w:r w:rsidR="00940103" w:rsidRPr="00DD17D1">
        <w:rPr>
          <w:lang w:val="fr-CH"/>
        </w:rPr>
        <w:t>. M</w:t>
      </w:r>
      <w:r w:rsidR="00C767A8" w:rsidRPr="00DD17D1">
        <w:rPr>
          <w:lang w:val="fr-CH"/>
        </w:rPr>
        <w:t xml:space="preserve">esures </w:t>
      </w:r>
    </w:p>
    <w:p w:rsidR="00940103" w:rsidRPr="00DD17D1" w:rsidRDefault="00C767A8">
      <w:pPr>
        <w:spacing w:after="60"/>
        <w:ind w:left="284"/>
        <w:rPr>
          <w:lang w:val="fr-CH"/>
        </w:rPr>
      </w:pPr>
      <w:r w:rsidRPr="00DD17D1">
        <w:rPr>
          <w:lang w:val="fr-CH"/>
        </w:rPr>
        <w:t xml:space="preserve">Liste des mesures techniques et organisationnelles </w:t>
      </w:r>
      <w:r w:rsidR="006E7689" w:rsidRPr="00DD17D1">
        <w:rPr>
          <w:lang w:val="fr-CH"/>
        </w:rPr>
        <w:t>nécessaires jusqu’à la mise en service. A cet égard, sont obligatoires:</w:t>
      </w:r>
    </w:p>
    <w:p w:rsidR="00940103" w:rsidRPr="00DD17D1" w:rsidRDefault="003E0B95">
      <w:pPr>
        <w:pStyle w:val="AufzhlungPunkt"/>
        <w:tabs>
          <w:tab w:val="clear" w:pos="1134"/>
          <w:tab w:val="left" w:pos="567"/>
        </w:tabs>
        <w:ind w:left="567" w:hanging="283"/>
        <w:rPr>
          <w:lang w:val="fr-CH"/>
        </w:rPr>
      </w:pPr>
      <w:r>
        <w:rPr>
          <w:lang w:val="fr-CH"/>
        </w:rPr>
        <w:t>u</w:t>
      </w:r>
      <w:r w:rsidR="00CB6DE8">
        <w:rPr>
          <w:lang w:val="fr-CH"/>
        </w:rPr>
        <w:t>n concept des droits d’utilisateur du système</w:t>
      </w:r>
      <w:r>
        <w:rPr>
          <w:lang w:val="fr-CH"/>
        </w:rPr>
        <w:t>;</w:t>
      </w:r>
      <w:r w:rsidR="00CB6DE8">
        <w:rPr>
          <w:lang w:val="fr-CH"/>
        </w:rPr>
        <w:t xml:space="preserve"> </w:t>
      </w:r>
    </w:p>
    <w:p w:rsidR="00E96933" w:rsidRPr="00DD17D1" w:rsidRDefault="003E0B95">
      <w:pPr>
        <w:pStyle w:val="AufzhlungPunkt"/>
        <w:tabs>
          <w:tab w:val="clear" w:pos="1134"/>
          <w:tab w:val="left" w:pos="567"/>
        </w:tabs>
        <w:ind w:left="567" w:hanging="283"/>
        <w:rPr>
          <w:lang w:val="fr-CH"/>
        </w:rPr>
      </w:pPr>
      <w:r>
        <w:rPr>
          <w:lang w:val="fr-CH"/>
        </w:rPr>
        <w:t xml:space="preserve">des mesures de protection de base concernant la </w:t>
      </w:r>
      <w:r w:rsidR="006A53A6">
        <w:rPr>
          <w:lang w:val="fr-CH"/>
        </w:rPr>
        <w:t xml:space="preserve">sécurité </w:t>
      </w:r>
      <w:r>
        <w:rPr>
          <w:lang w:val="fr-CH"/>
        </w:rPr>
        <w:t>de l’information, confo</w:t>
      </w:r>
      <w:r>
        <w:rPr>
          <w:lang w:val="fr-CH"/>
        </w:rPr>
        <w:t>r</w:t>
      </w:r>
      <w:r>
        <w:rPr>
          <w:lang w:val="fr-CH"/>
        </w:rPr>
        <w:t xml:space="preserve">mément à la liste de contrôle relative à la protection de base; </w:t>
      </w:r>
    </w:p>
    <w:p w:rsidR="00940103" w:rsidRPr="003E0B95" w:rsidRDefault="003E0B95">
      <w:pPr>
        <w:pStyle w:val="AufzhlungPunkt"/>
        <w:tabs>
          <w:tab w:val="clear" w:pos="1134"/>
          <w:tab w:val="left" w:pos="567"/>
        </w:tabs>
        <w:ind w:left="567" w:hanging="283"/>
        <w:rPr>
          <w:lang w:val="fr-FR"/>
        </w:rPr>
      </w:pPr>
      <w:r w:rsidRPr="003E0B95">
        <w:rPr>
          <w:lang w:val="fr-FR"/>
        </w:rPr>
        <w:t>des mesures qui, le cas échéant, couvrent un besoin de protection accru;</w:t>
      </w:r>
    </w:p>
    <w:p w:rsidR="00940103" w:rsidRPr="00DD17D1" w:rsidRDefault="003E0B95">
      <w:pPr>
        <w:pStyle w:val="AufzhlungPunkt"/>
        <w:tabs>
          <w:tab w:val="clear" w:pos="1134"/>
          <w:tab w:val="left" w:pos="567"/>
        </w:tabs>
        <w:ind w:left="567" w:hanging="283"/>
        <w:rPr>
          <w:lang w:val="fr-CH"/>
        </w:rPr>
      </w:pPr>
      <w:r>
        <w:rPr>
          <w:lang w:val="fr-CH"/>
        </w:rPr>
        <w:t>des indications sur la mise en œuvre des mesures d’ici l’introduction du système (plan de mesures).</w:t>
      </w:r>
    </w:p>
    <w:p w:rsidR="00841CEF" w:rsidRPr="00DD17D1" w:rsidRDefault="00841CEF" w:rsidP="00841CEF">
      <w:pPr>
        <w:rPr>
          <w:lang w:val="fr-CH"/>
        </w:rPr>
      </w:pPr>
    </w:p>
    <w:p w:rsidR="00841CEF" w:rsidRPr="00DD17D1" w:rsidRDefault="00841CEF" w:rsidP="00841CEF">
      <w:pPr>
        <w:rPr>
          <w:lang w:val="fr-CH"/>
        </w:rPr>
      </w:pPr>
    </w:p>
    <w:sectPr w:rsidR="00841CEF" w:rsidRPr="00DD17D1">
      <w:headerReference w:type="default" r:id="rId7"/>
      <w:footerReference w:type="default" r:id="rId8"/>
      <w:pgSz w:w="11907" w:h="16840" w:code="9"/>
      <w:pgMar w:top="1985" w:right="1418" w:bottom="1418" w:left="1701" w:header="851" w:footer="567"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1D" w:rsidRDefault="0007751D">
      <w:r>
        <w:separator/>
      </w:r>
    </w:p>
  </w:endnote>
  <w:endnote w:type="continuationSeparator" w:id="0">
    <w:p w:rsidR="0007751D" w:rsidRDefault="0007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7513"/>
      <w:gridCol w:w="1345"/>
    </w:tblGrid>
    <w:tr w:rsidR="006B3D3C">
      <w:tblPrEx>
        <w:tblCellMar>
          <w:top w:w="0" w:type="dxa"/>
          <w:bottom w:w="0" w:type="dxa"/>
        </w:tblCellMar>
      </w:tblPrEx>
      <w:trPr>
        <w:cantSplit/>
      </w:trPr>
      <w:tc>
        <w:tcPr>
          <w:tcW w:w="7513" w:type="dxa"/>
        </w:tcPr>
        <w:p w:rsidR="006B3D3C" w:rsidRPr="006A53A6" w:rsidRDefault="006B3D3C">
          <w:pPr>
            <w:pStyle w:val="Fuzeile"/>
          </w:pPr>
        </w:p>
      </w:tc>
      <w:tc>
        <w:tcPr>
          <w:tcW w:w="1345" w:type="dxa"/>
        </w:tcPr>
        <w:p w:rsidR="006B3D3C" w:rsidRDefault="006B3D3C">
          <w:pPr>
            <w:spacing w:before="120"/>
            <w:jc w:val="right"/>
          </w:pPr>
          <w:r>
            <w:rPr>
              <w:rStyle w:val="Seitenzahl"/>
            </w:rPr>
            <w:fldChar w:fldCharType="begin"/>
          </w:r>
          <w:r>
            <w:rPr>
              <w:rStyle w:val="Seitenzahl"/>
            </w:rPr>
            <w:instrText xml:space="preserve"> PAGE </w:instrText>
          </w:r>
          <w:r>
            <w:rPr>
              <w:rStyle w:val="Seitenzahl"/>
            </w:rPr>
            <w:fldChar w:fldCharType="separate"/>
          </w:r>
          <w:r w:rsidR="00BC7C86">
            <w:rPr>
              <w:rStyle w:val="Seitenzahl"/>
              <w:noProof/>
            </w:rPr>
            <w:t>1</w:t>
          </w:r>
          <w:r>
            <w:rPr>
              <w:rStyle w:val="Seitenzahl"/>
            </w:rPr>
            <w:fldChar w:fldCharType="end"/>
          </w:r>
        </w:p>
      </w:tc>
    </w:tr>
  </w:tbl>
  <w:p w:rsidR="006B3D3C" w:rsidRDefault="006B3D3C">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1D" w:rsidRDefault="0007751D">
      <w:r>
        <w:separator/>
      </w:r>
    </w:p>
  </w:footnote>
  <w:footnote w:type="continuationSeparator" w:id="0">
    <w:p w:rsidR="0007751D" w:rsidRDefault="0007751D">
      <w:r>
        <w:continuationSeparator/>
      </w:r>
    </w:p>
  </w:footnote>
  <w:footnote w:id="1">
    <w:p w:rsidR="006B3D3C" w:rsidRDefault="006B3D3C" w:rsidP="00C767A8">
      <w:pPr>
        <w:pStyle w:val="Funotentext"/>
        <w:rPr>
          <w:lang w:val="fr-FR"/>
        </w:rPr>
      </w:pPr>
      <w:r w:rsidRPr="00C767A8">
        <w:rPr>
          <w:rStyle w:val="Funotenzeichen"/>
        </w:rPr>
        <w:footnoteRef/>
      </w:r>
      <w:r w:rsidRPr="00C767A8">
        <w:rPr>
          <w:lang w:val="fr-FR"/>
        </w:rPr>
        <w:t xml:space="preserve"> La rédaction de cette liste suppose l’utilisation d’une norme reconnue [p. ex.: Bonnes pratiques d’ISO 27000</w:t>
      </w:r>
      <w:r w:rsidR="006A53A6">
        <w:rPr>
          <w:lang w:val="fr-FR"/>
        </w:rPr>
        <w:t xml:space="preserve"> </w:t>
      </w:r>
      <w:r w:rsidRPr="00C767A8">
        <w:rPr>
          <w:lang w:val="fr-FR"/>
        </w:rPr>
        <w:t>(www.iso.org/iso/fr/iso_catalogue/catalogue_tc/catalogue_detail.htm?csnumber=41933)</w:t>
      </w:r>
      <w:r>
        <w:rPr>
          <w:lang w:val="fr-FR"/>
        </w:rPr>
        <w:t xml:space="preserve"> ou</w:t>
      </w:r>
      <w:r w:rsidRPr="00C767A8">
        <w:rPr>
          <w:lang w:val="fr-FR"/>
        </w:rPr>
        <w:t xml:space="preserve"> </w:t>
      </w:r>
      <w:r>
        <w:rPr>
          <w:lang w:val="fr-FR"/>
        </w:rPr>
        <w:t>Dire</w:t>
      </w:r>
      <w:r>
        <w:rPr>
          <w:lang w:val="fr-FR"/>
        </w:rPr>
        <w:t>c</w:t>
      </w:r>
      <w:r>
        <w:rPr>
          <w:lang w:val="fr-FR"/>
        </w:rPr>
        <w:t>tives du Conseil de l’informatique de la Confédération (CI)</w:t>
      </w:r>
      <w:r w:rsidRPr="00C767A8">
        <w:rPr>
          <w:lang w:val="fr-FR"/>
        </w:rPr>
        <w:t xml:space="preserve"> (</w:t>
      </w:r>
      <w:hyperlink r:id="rId1" w:history="1">
        <w:r w:rsidR="00537ADA" w:rsidRPr="00CA00DC">
          <w:rPr>
            <w:rStyle w:val="Hyperlink"/>
            <w:lang w:val="fr-FR"/>
          </w:rPr>
          <w:t>https://www.isb.admin.ch/isb/fr/home/themen/sicherheit.html</w:t>
        </w:r>
      </w:hyperlink>
      <w:r w:rsidRPr="00C767A8">
        <w:rPr>
          <w:lang w:val="fr-FR"/>
        </w:rPr>
        <w:t>)</w:t>
      </w:r>
    </w:p>
    <w:p w:rsidR="006B3D3C" w:rsidRPr="001578FE" w:rsidRDefault="006B3D3C" w:rsidP="00C767A8">
      <w:pPr>
        <w:pStyle w:val="Funoten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464"/>
      <w:gridCol w:w="4464"/>
    </w:tblGrid>
    <w:tr w:rsidR="006B3D3C" w:rsidRPr="00BD2802">
      <w:tblPrEx>
        <w:tblCellMar>
          <w:top w:w="0" w:type="dxa"/>
          <w:bottom w:w="0" w:type="dxa"/>
        </w:tblCellMar>
      </w:tblPrEx>
      <w:tc>
        <w:tcPr>
          <w:tcW w:w="4464" w:type="dxa"/>
        </w:tcPr>
        <w:p w:rsidR="006B3D3C" w:rsidRPr="00BD2802" w:rsidRDefault="006B3D3C">
          <w:pPr>
            <w:pStyle w:val="Kopfzeile"/>
            <w:rPr>
              <w:lang w:val="fr-FR"/>
            </w:rPr>
          </w:pPr>
          <w:r w:rsidRPr="00BD2802">
            <w:rPr>
              <w:lang w:val="fr-FR"/>
            </w:rPr>
            <w:t>Autorité de surveillance de la protection des données de la commune de ...</w:t>
          </w:r>
        </w:p>
      </w:tc>
      <w:tc>
        <w:tcPr>
          <w:tcW w:w="4464" w:type="dxa"/>
        </w:tcPr>
        <w:p w:rsidR="006B3D3C" w:rsidRPr="00BD2802" w:rsidRDefault="006B3D3C">
          <w:pPr>
            <w:pStyle w:val="Kopfzeile"/>
            <w:jc w:val="right"/>
            <w:rPr>
              <w:lang w:val="fr-FR"/>
            </w:rPr>
          </w:pPr>
        </w:p>
      </w:tc>
    </w:tr>
  </w:tbl>
  <w:p w:rsidR="006B3D3C" w:rsidRPr="00BD2802" w:rsidRDefault="006B3D3C" w:rsidP="00403331">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1E"/>
    <w:multiLevelType w:val="hybridMultilevel"/>
    <w:tmpl w:val="4A1C766C"/>
    <w:lvl w:ilvl="0" w:tplc="0807000F">
      <w:start w:val="1"/>
      <w:numFmt w:val="decimal"/>
      <w:lvlText w:val="%1."/>
      <w:lvlJc w:val="left"/>
      <w:pPr>
        <w:tabs>
          <w:tab w:val="num" w:pos="1080"/>
        </w:tabs>
        <w:ind w:left="1080" w:hanging="360"/>
      </w:pPr>
    </w:lvl>
    <w:lvl w:ilvl="1" w:tplc="08070019" w:tentative="1">
      <w:start w:val="1"/>
      <w:numFmt w:val="lowerLetter"/>
      <w:lvlText w:val="%2."/>
      <w:lvlJc w:val="left"/>
      <w:pPr>
        <w:tabs>
          <w:tab w:val="num" w:pos="1800"/>
        </w:tabs>
        <w:ind w:left="1800" w:hanging="360"/>
      </w:pPr>
    </w:lvl>
    <w:lvl w:ilvl="2" w:tplc="0807001B" w:tentative="1">
      <w:start w:val="1"/>
      <w:numFmt w:val="lowerRoman"/>
      <w:lvlText w:val="%3."/>
      <w:lvlJc w:val="right"/>
      <w:pPr>
        <w:tabs>
          <w:tab w:val="num" w:pos="2520"/>
        </w:tabs>
        <w:ind w:left="2520" w:hanging="180"/>
      </w:pPr>
    </w:lvl>
    <w:lvl w:ilvl="3" w:tplc="0807000F" w:tentative="1">
      <w:start w:val="1"/>
      <w:numFmt w:val="decimal"/>
      <w:lvlText w:val="%4."/>
      <w:lvlJc w:val="left"/>
      <w:pPr>
        <w:tabs>
          <w:tab w:val="num" w:pos="3240"/>
        </w:tabs>
        <w:ind w:left="3240" w:hanging="360"/>
      </w:pPr>
    </w:lvl>
    <w:lvl w:ilvl="4" w:tplc="08070019" w:tentative="1">
      <w:start w:val="1"/>
      <w:numFmt w:val="lowerLetter"/>
      <w:lvlText w:val="%5."/>
      <w:lvlJc w:val="left"/>
      <w:pPr>
        <w:tabs>
          <w:tab w:val="num" w:pos="3960"/>
        </w:tabs>
        <w:ind w:left="3960" w:hanging="360"/>
      </w:pPr>
    </w:lvl>
    <w:lvl w:ilvl="5" w:tplc="0807001B" w:tentative="1">
      <w:start w:val="1"/>
      <w:numFmt w:val="lowerRoman"/>
      <w:lvlText w:val="%6."/>
      <w:lvlJc w:val="right"/>
      <w:pPr>
        <w:tabs>
          <w:tab w:val="num" w:pos="4680"/>
        </w:tabs>
        <w:ind w:left="4680" w:hanging="180"/>
      </w:pPr>
    </w:lvl>
    <w:lvl w:ilvl="6" w:tplc="0807000F" w:tentative="1">
      <w:start w:val="1"/>
      <w:numFmt w:val="decimal"/>
      <w:lvlText w:val="%7."/>
      <w:lvlJc w:val="left"/>
      <w:pPr>
        <w:tabs>
          <w:tab w:val="num" w:pos="5400"/>
        </w:tabs>
        <w:ind w:left="5400" w:hanging="360"/>
      </w:pPr>
    </w:lvl>
    <w:lvl w:ilvl="7" w:tplc="08070019" w:tentative="1">
      <w:start w:val="1"/>
      <w:numFmt w:val="lowerLetter"/>
      <w:lvlText w:val="%8."/>
      <w:lvlJc w:val="left"/>
      <w:pPr>
        <w:tabs>
          <w:tab w:val="num" w:pos="6120"/>
        </w:tabs>
        <w:ind w:left="6120" w:hanging="360"/>
      </w:pPr>
    </w:lvl>
    <w:lvl w:ilvl="8" w:tplc="0807001B" w:tentative="1">
      <w:start w:val="1"/>
      <w:numFmt w:val="lowerRoman"/>
      <w:lvlText w:val="%9."/>
      <w:lvlJc w:val="right"/>
      <w:pPr>
        <w:tabs>
          <w:tab w:val="num" w:pos="6840"/>
        </w:tabs>
        <w:ind w:left="6840" w:hanging="180"/>
      </w:pPr>
    </w:lvl>
  </w:abstractNum>
  <w:abstractNum w:abstractNumId="1" w15:restartNumberingAfterBreak="0">
    <w:nsid w:val="17084FE6"/>
    <w:multiLevelType w:val="hybridMultilevel"/>
    <w:tmpl w:val="D256EE9C"/>
    <w:lvl w:ilvl="0" w:tplc="5C50EC7E">
      <w:start w:val="1"/>
      <w:numFmt w:val="decimal"/>
      <w:lvlText w:val="[%1]"/>
      <w:lvlJc w:val="left"/>
      <w:pPr>
        <w:tabs>
          <w:tab w:val="num" w:pos="1854"/>
        </w:tabs>
        <w:ind w:left="1854"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 w15:restartNumberingAfterBreak="0">
    <w:nsid w:val="39495DD8"/>
    <w:multiLevelType w:val="hybridMultilevel"/>
    <w:tmpl w:val="DA9AFEC6"/>
    <w:lvl w:ilvl="0" w:tplc="1FFE939E">
      <w:start w:val="2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91A7B"/>
    <w:multiLevelType w:val="hybridMultilevel"/>
    <w:tmpl w:val="1E1A1FBE"/>
    <w:lvl w:ilvl="0" w:tplc="372CEF58">
      <w:start w:val="1"/>
      <w:numFmt w:val="bullet"/>
      <w:pStyle w:val="AufzhlungPunkt"/>
      <w:lvlText w:val=""/>
      <w:lvlJc w:val="left"/>
      <w:pPr>
        <w:tabs>
          <w:tab w:val="num" w:pos="1003"/>
        </w:tabs>
        <w:ind w:left="1003" w:hanging="283"/>
      </w:pPr>
      <w:rPr>
        <w:rFonts w:ascii="Symbol" w:hAnsi="Symbol" w:hint="default"/>
      </w:rPr>
    </w:lvl>
    <w:lvl w:ilvl="1" w:tplc="08070003" w:tentative="1">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651E0E41"/>
    <w:multiLevelType w:val="hybridMultilevel"/>
    <w:tmpl w:val="08201A16"/>
    <w:lvl w:ilvl="0" w:tplc="A296DC32">
      <w:start w:val="1"/>
      <w:numFmt w:val="lowerLetter"/>
      <w:pStyle w:val="AufzhlungBuchstaben"/>
      <w:lvlText w:val="%1."/>
      <w:lvlJc w:val="left"/>
      <w:pPr>
        <w:tabs>
          <w:tab w:val="num" w:pos="1211"/>
        </w:tabs>
        <w:ind w:left="1211" w:hanging="360"/>
      </w:pPr>
      <w:rPr>
        <w:rFonts w:hint="default"/>
      </w:rPr>
    </w:lvl>
    <w:lvl w:ilvl="1" w:tplc="08070003" w:tentative="1">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70D97E26"/>
    <w:multiLevelType w:val="hybridMultilevel"/>
    <w:tmpl w:val="BD3EA84C"/>
    <w:lvl w:ilvl="0" w:tplc="2E528298">
      <w:start w:val="3"/>
      <w:numFmt w:val="decimal"/>
      <w:lvlText w:val="%1."/>
      <w:lvlJc w:val="left"/>
      <w:pPr>
        <w:tabs>
          <w:tab w:val="num" w:pos="1065"/>
        </w:tabs>
        <w:ind w:left="1065" w:hanging="705"/>
      </w:pPr>
      <w:rPr>
        <w:rFonts w:hint="default"/>
      </w:rPr>
    </w:lvl>
    <w:lvl w:ilvl="1" w:tplc="D7B49FA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11220"/>
    <w:docVar w:name="TermBaseURL" w:val="empty"/>
    <w:docVar w:name="TextBases" w:val="Canton de Berne\BELEX_2011-2s|Canton de Berne\BELEX_Historique|Canton de Berne\Canton de Berne|Canton de Berne\Conf_092011|Canton de Berne\Conf_20110308|Canton de Berne\Conf_20110606|Canton de Berne\Dubious_Aliens|CHA\CHA_valide|ECO\ECO_valide|FIN-ICI\FIN-ICI_valide|FIN-SG\FIN-SG_valide|INS\INS_valide|JCE\JCE_interne|JCE\JCE_Plan|JCE\JCE_Temporaire|JCE\JCE_valide|POM\POM_valide|SAP\SAP_valide|TTE\TTE_valide"/>
    <w:docVar w:name="TextBaseURL" w:val="empty"/>
    <w:docVar w:name="UILng" w:val="fr"/>
  </w:docVars>
  <w:rsids>
    <w:rsidRoot w:val="00712CA4"/>
    <w:rsid w:val="00013A48"/>
    <w:rsid w:val="00046248"/>
    <w:rsid w:val="000643BA"/>
    <w:rsid w:val="00073F75"/>
    <w:rsid w:val="0007751D"/>
    <w:rsid w:val="000D2CD0"/>
    <w:rsid w:val="00115CAC"/>
    <w:rsid w:val="00133368"/>
    <w:rsid w:val="00136155"/>
    <w:rsid w:val="00156F97"/>
    <w:rsid w:val="001578FE"/>
    <w:rsid w:val="0016511E"/>
    <w:rsid w:val="00183715"/>
    <w:rsid w:val="00184C14"/>
    <w:rsid w:val="001D66D4"/>
    <w:rsid w:val="002143D3"/>
    <w:rsid w:val="00254999"/>
    <w:rsid w:val="002A5A17"/>
    <w:rsid w:val="002D38B9"/>
    <w:rsid w:val="002F736E"/>
    <w:rsid w:val="00304038"/>
    <w:rsid w:val="0031515F"/>
    <w:rsid w:val="003A77CD"/>
    <w:rsid w:val="003E0B95"/>
    <w:rsid w:val="003E4D09"/>
    <w:rsid w:val="003E6CD0"/>
    <w:rsid w:val="00403331"/>
    <w:rsid w:val="00413329"/>
    <w:rsid w:val="004D0406"/>
    <w:rsid w:val="00537ADA"/>
    <w:rsid w:val="00545751"/>
    <w:rsid w:val="005F00A7"/>
    <w:rsid w:val="005F4EEF"/>
    <w:rsid w:val="00627017"/>
    <w:rsid w:val="00635A2E"/>
    <w:rsid w:val="006A53A6"/>
    <w:rsid w:val="006B3D3C"/>
    <w:rsid w:val="006E7689"/>
    <w:rsid w:val="006F2DD2"/>
    <w:rsid w:val="007063F6"/>
    <w:rsid w:val="00712CA4"/>
    <w:rsid w:val="007205A3"/>
    <w:rsid w:val="0080049A"/>
    <w:rsid w:val="00841CEF"/>
    <w:rsid w:val="00843243"/>
    <w:rsid w:val="00854283"/>
    <w:rsid w:val="00883C7D"/>
    <w:rsid w:val="008867EB"/>
    <w:rsid w:val="008B35D7"/>
    <w:rsid w:val="008E05CC"/>
    <w:rsid w:val="008E4AA1"/>
    <w:rsid w:val="009108D9"/>
    <w:rsid w:val="00925897"/>
    <w:rsid w:val="00940103"/>
    <w:rsid w:val="009B122F"/>
    <w:rsid w:val="00A66A43"/>
    <w:rsid w:val="00A75E23"/>
    <w:rsid w:val="00AA685E"/>
    <w:rsid w:val="00B724A0"/>
    <w:rsid w:val="00BA2A06"/>
    <w:rsid w:val="00BA4714"/>
    <w:rsid w:val="00BC7C86"/>
    <w:rsid w:val="00BD2802"/>
    <w:rsid w:val="00C535CC"/>
    <w:rsid w:val="00C767A8"/>
    <w:rsid w:val="00C953A2"/>
    <w:rsid w:val="00CB6DE8"/>
    <w:rsid w:val="00CC3B89"/>
    <w:rsid w:val="00CF36DA"/>
    <w:rsid w:val="00CF55BC"/>
    <w:rsid w:val="00D45471"/>
    <w:rsid w:val="00D86917"/>
    <w:rsid w:val="00D90012"/>
    <w:rsid w:val="00DD17D1"/>
    <w:rsid w:val="00DD7B82"/>
    <w:rsid w:val="00E02EF9"/>
    <w:rsid w:val="00E16E35"/>
    <w:rsid w:val="00E341EB"/>
    <w:rsid w:val="00E96933"/>
    <w:rsid w:val="00ED7C5E"/>
    <w:rsid w:val="00F02031"/>
    <w:rsid w:val="00F03CC5"/>
    <w:rsid w:val="00F55797"/>
    <w:rsid w:val="00FB0FA9"/>
    <w:rsid w:val="00FC25F6"/>
    <w:rsid w:val="00FD10D3"/>
    <w:rsid w:val="00FF7B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887423-8A8B-402E-89C3-48EEB35F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rFonts w:ascii="Arial" w:hAnsi="Arial"/>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before="120"/>
    </w:pPr>
    <w:rPr>
      <w:color w:val="808080"/>
    </w:rPr>
  </w:style>
  <w:style w:type="paragraph" w:customStyle="1" w:styleId="AufzhlungPunkt">
    <w:name w:val="Aufzählung_Punkt"/>
    <w:next w:val="Standard"/>
    <w:pPr>
      <w:numPr>
        <w:numId w:val="2"/>
      </w:numPr>
      <w:tabs>
        <w:tab w:val="left" w:pos="1134"/>
      </w:tabs>
      <w:spacing w:after="60"/>
      <w:ind w:left="1135" w:hanging="284"/>
    </w:pPr>
    <w:rPr>
      <w:rFonts w:ascii="Arial" w:hAnsi="Arial"/>
      <w:lang w:eastAsia="de-DE"/>
    </w:rPr>
  </w:style>
  <w:style w:type="character" w:styleId="Seitenzahl">
    <w:name w:val="page number"/>
    <w:rPr>
      <w:rFonts w:ascii="Arial" w:hAnsi="Arial"/>
      <w:sz w:val="20"/>
    </w:rPr>
  </w:style>
  <w:style w:type="paragraph" w:styleId="Fuzeile">
    <w:name w:val="footer"/>
    <w:basedOn w:val="Standard"/>
    <w:pPr>
      <w:spacing w:before="120"/>
    </w:pPr>
  </w:style>
  <w:style w:type="paragraph" w:customStyle="1" w:styleId="Titel3">
    <w:name w:val="Titel_3"/>
    <w:basedOn w:val="Standard"/>
    <w:pPr>
      <w:spacing w:before="120"/>
      <w:ind w:left="2835" w:hanging="2835"/>
    </w:pPr>
    <w:rPr>
      <w:b/>
      <w:bCs/>
      <w:i/>
      <w:iCs/>
      <w:color w:val="808080"/>
      <w:sz w:val="24"/>
      <w:szCs w:val="24"/>
    </w:rPr>
  </w:style>
  <w:style w:type="paragraph" w:customStyle="1" w:styleId="Titel1">
    <w:name w:val="Titel_1"/>
    <w:basedOn w:val="Standard"/>
    <w:pPr>
      <w:spacing w:before="720" w:after="360"/>
    </w:pPr>
    <w:rPr>
      <w:i/>
      <w:iCs/>
      <w:color w:val="808080"/>
      <w:sz w:val="56"/>
      <w:szCs w:val="56"/>
    </w:rPr>
  </w:style>
  <w:style w:type="paragraph" w:customStyle="1" w:styleId="AufzhlungBuchstaben">
    <w:name w:val="Aufzählung_Buchstaben"/>
    <w:next w:val="Standard"/>
    <w:pPr>
      <w:numPr>
        <w:numId w:val="1"/>
      </w:numPr>
      <w:tabs>
        <w:tab w:val="clear" w:pos="1211"/>
        <w:tab w:val="left" w:pos="1134"/>
      </w:tabs>
      <w:ind w:left="1135" w:hanging="284"/>
    </w:pPr>
    <w:rPr>
      <w:rFonts w:ascii="Arial" w:hAnsi="Arial"/>
      <w:lang w:eastAsia="de-DE"/>
    </w:rPr>
  </w:style>
  <w:style w:type="paragraph" w:styleId="Fuzeile0">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635A2E"/>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635A2E"/>
    <w:rPr>
      <w:rFonts w:ascii="Tahoma" w:hAnsi="Tahoma" w:cs="Tahoma"/>
      <w:sz w:val="16"/>
      <w:szCs w:val="16"/>
      <w:lang w:eastAsia="de-DE"/>
    </w:rPr>
  </w:style>
  <w:style w:type="paragraph" w:styleId="Funotentext">
    <w:name w:val="footnote text"/>
    <w:basedOn w:val="Standard"/>
    <w:semiHidden/>
    <w:rsid w:val="00D90012"/>
  </w:style>
  <w:style w:type="character" w:styleId="Funotenzeichen">
    <w:name w:val="footnote reference"/>
    <w:semiHidden/>
    <w:rsid w:val="00D90012"/>
    <w:rPr>
      <w:vertAlign w:val="superscript"/>
    </w:rPr>
  </w:style>
  <w:style w:type="character" w:styleId="Hyperlink">
    <w:name w:val="Hyperlink"/>
    <w:rsid w:val="00304038"/>
    <w:rPr>
      <w:color w:val="0000FF"/>
      <w:u w:val="single"/>
    </w:rPr>
  </w:style>
  <w:style w:type="character" w:styleId="BesuchterHyperlink">
    <w:name w:val="BesuchterHyperlink"/>
    <w:rsid w:val="003040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sb.admin.ch/isb/fr/home/themen/sicherhei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ISDS-Konzept</vt:lpstr>
      <vt:lpstr>ISDS-Konzept</vt:lpstr>
    </vt:vector>
  </TitlesOfParts>
  <Company>KAIO</Company>
  <LinksUpToDate>false</LinksUpToDate>
  <CharactersWithSpaces>3113</CharactersWithSpaces>
  <SharedDoc>false</SharedDoc>
  <HLinks>
    <vt:vector size="6" baseType="variant">
      <vt:variant>
        <vt:i4>2752548</vt:i4>
      </vt:variant>
      <vt:variant>
        <vt:i4>0</vt:i4>
      </vt:variant>
      <vt:variant>
        <vt:i4>0</vt:i4>
      </vt:variant>
      <vt:variant>
        <vt:i4>5</vt:i4>
      </vt:variant>
      <vt:variant>
        <vt:lpwstr>https://www.isb.admin.ch/isb/fr/home/themen/sicherheit.html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ISDS-Konzept</dc:title>
  <dc:subject/>
  <dc:creator>H.R. Käser</dc:creator>
  <cp:keywords>ISDS-Konzept; KAIO; ISDS; Konzept</cp:keywords>
  <cp:lastModifiedBy>Bennet Anders, DIJ-DSA</cp:lastModifiedBy>
  <cp:revision>2</cp:revision>
  <cp:lastPrinted>2012-03-22T09:11:00Z</cp:lastPrinted>
  <dcterms:created xsi:type="dcterms:W3CDTF">2021-10-28T13:32:00Z</dcterms:created>
  <dcterms:modified xsi:type="dcterms:W3CDTF">2021-10-28T13:32:00Z</dcterms:modified>
</cp:coreProperties>
</file>