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8A" w:rsidRDefault="00774E8A" w:rsidP="007F1572">
      <w:pPr>
        <w:jc w:val="left"/>
        <w:rPr>
          <w:rFonts w:cs="Arial"/>
        </w:rPr>
      </w:pPr>
      <w:bookmarkStart w:id="0" w:name="_GoBack"/>
      <w:bookmarkEnd w:id="0"/>
      <w:r>
        <w:rPr>
          <w:rFonts w:cs="Arial"/>
        </w:rPr>
        <w:t>Datenschutz- und Rechnungs-</w:t>
      </w:r>
      <w:r w:rsidR="00F764A8">
        <w:rPr>
          <w:rFonts w:cs="Arial"/>
        </w:rPr>
        <w:br/>
      </w:r>
      <w:r>
        <w:rPr>
          <w:rFonts w:cs="Arial"/>
        </w:rPr>
        <w:t xml:space="preserve">prüfungskommission der </w:t>
      </w:r>
      <w:r w:rsidR="00F764A8">
        <w:rPr>
          <w:rFonts w:cs="Arial"/>
        </w:rPr>
        <w:br/>
      </w:r>
      <w:r>
        <w:rPr>
          <w:rFonts w:cs="Arial"/>
        </w:rPr>
        <w:t xml:space="preserve">Gemeinde..... </w:t>
      </w:r>
    </w:p>
    <w:p w:rsidR="00BD67CA" w:rsidRDefault="00774E8A" w:rsidP="007F1572">
      <w:pPr>
        <w:jc w:val="left"/>
      </w:pPr>
      <w:r>
        <w:t>......</w:t>
      </w:r>
    </w:p>
    <w:p w:rsidR="00D543C9" w:rsidRDefault="00D543C9" w:rsidP="007F1572">
      <w:pPr>
        <w:jc w:val="left"/>
      </w:pPr>
    </w:p>
    <w:p w:rsidR="00774E8A" w:rsidRDefault="00774E8A" w:rsidP="007F1572">
      <w:pPr>
        <w:jc w:val="left"/>
      </w:pPr>
    </w:p>
    <w:p w:rsidR="00D543C9" w:rsidRDefault="00D543C9" w:rsidP="007F1572">
      <w:pPr>
        <w:jc w:val="left"/>
      </w:pPr>
    </w:p>
    <w:p w:rsidR="00D543C9" w:rsidRDefault="00D543C9" w:rsidP="007F1572">
      <w:pPr>
        <w:jc w:val="left"/>
      </w:pPr>
    </w:p>
    <w:p w:rsidR="00D543C9" w:rsidRPr="00D543C9" w:rsidRDefault="00D543C9" w:rsidP="007F1572">
      <w:pPr>
        <w:jc w:val="left"/>
        <w:rPr>
          <w:b/>
        </w:rPr>
      </w:pPr>
      <w:r>
        <w:tab/>
      </w:r>
      <w:r w:rsidRPr="00D543C9">
        <w:rPr>
          <w:b/>
        </w:rPr>
        <w:t>EINSCHREIBEN</w:t>
      </w:r>
    </w:p>
    <w:p w:rsidR="00D543C9" w:rsidRDefault="00D543C9" w:rsidP="007F1572">
      <w:pPr>
        <w:jc w:val="left"/>
      </w:pPr>
      <w:r>
        <w:tab/>
        <w:t>Bauverwaltung der Einwohnergemeinde</w:t>
      </w:r>
    </w:p>
    <w:p w:rsidR="00D543C9" w:rsidRDefault="00D543C9" w:rsidP="007F1572">
      <w:pPr>
        <w:jc w:val="left"/>
      </w:pPr>
      <w:r>
        <w:tab/>
        <w:t>.........</w:t>
      </w:r>
    </w:p>
    <w:p w:rsidR="00D543C9" w:rsidRDefault="00D543C9" w:rsidP="007F1572">
      <w:pPr>
        <w:jc w:val="left"/>
      </w:pPr>
      <w:r>
        <w:tab/>
        <w:t xml:space="preserve">Herr YXZ </w:t>
      </w:r>
    </w:p>
    <w:p w:rsidR="00D543C9" w:rsidRDefault="00D543C9" w:rsidP="007F1572">
      <w:pPr>
        <w:jc w:val="left"/>
      </w:pPr>
      <w:r>
        <w:tab/>
        <w:t>Bauverwalter</w:t>
      </w:r>
    </w:p>
    <w:p w:rsidR="00D543C9" w:rsidRDefault="00D543C9" w:rsidP="007F1572">
      <w:pPr>
        <w:jc w:val="left"/>
      </w:pPr>
      <w:r>
        <w:tab/>
        <w:t>.....</w:t>
      </w:r>
    </w:p>
    <w:p w:rsidR="00D543C9" w:rsidRDefault="00D543C9" w:rsidP="007F1572">
      <w:pPr>
        <w:jc w:val="left"/>
      </w:pPr>
      <w:r>
        <w:tab/>
        <w:t>...... ......................</w:t>
      </w:r>
    </w:p>
    <w:p w:rsidR="00D543C9" w:rsidRDefault="00D543C9" w:rsidP="007F1572">
      <w:pPr>
        <w:jc w:val="left"/>
      </w:pPr>
    </w:p>
    <w:p w:rsidR="00774E8A" w:rsidRDefault="00774E8A" w:rsidP="007F1572">
      <w:pPr>
        <w:jc w:val="left"/>
      </w:pPr>
    </w:p>
    <w:p w:rsidR="00D543C9" w:rsidRDefault="00D543C9" w:rsidP="007F1572">
      <w:pPr>
        <w:jc w:val="left"/>
      </w:pPr>
    </w:p>
    <w:p w:rsidR="00D543C9" w:rsidRDefault="00D543C9" w:rsidP="007F1572">
      <w:pPr>
        <w:jc w:val="left"/>
      </w:pPr>
    </w:p>
    <w:p w:rsidR="00D543C9" w:rsidRDefault="00D543C9" w:rsidP="007F1572">
      <w:pPr>
        <w:jc w:val="left"/>
      </w:pPr>
      <w:r>
        <w:tab/>
        <w:t>(Datum)</w:t>
      </w:r>
    </w:p>
    <w:p w:rsidR="00774E8A" w:rsidRDefault="00774E8A" w:rsidP="007F1572">
      <w:pPr>
        <w:jc w:val="left"/>
      </w:pPr>
    </w:p>
    <w:p w:rsidR="00D543C9" w:rsidRDefault="00D543C9" w:rsidP="007F1572">
      <w:pPr>
        <w:jc w:val="left"/>
      </w:pPr>
    </w:p>
    <w:p w:rsidR="00D543C9" w:rsidRDefault="00D543C9" w:rsidP="007F1572">
      <w:pPr>
        <w:jc w:val="left"/>
      </w:pPr>
    </w:p>
    <w:p w:rsidR="00D543C9" w:rsidRPr="00774E8A" w:rsidRDefault="00D543C9" w:rsidP="007848F8">
      <w:pPr>
        <w:rPr>
          <w:b/>
        </w:rPr>
      </w:pPr>
      <w:r w:rsidRPr="00774E8A">
        <w:rPr>
          <w:b/>
        </w:rPr>
        <w:t>Bekanntgabe von Baugesuche</w:t>
      </w:r>
      <w:r w:rsidR="004C4A25">
        <w:rPr>
          <w:b/>
        </w:rPr>
        <w:t>n</w:t>
      </w:r>
      <w:r w:rsidRPr="00774E8A">
        <w:rPr>
          <w:b/>
        </w:rPr>
        <w:t xml:space="preserve"> auf der Internetseite der Gemeinde; begründete</w:t>
      </w:r>
      <w:r w:rsidR="009C15E6">
        <w:rPr>
          <w:b/>
        </w:rPr>
        <w:t>r Antrag</w:t>
      </w:r>
      <w:r w:rsidRPr="00774E8A">
        <w:rPr>
          <w:b/>
        </w:rPr>
        <w:t xml:space="preserve"> (Art. 35 Abs. 3 KDSG</w:t>
      </w:r>
      <w:r w:rsidR="00F764A8">
        <w:rPr>
          <w:rStyle w:val="Funotenzeichen"/>
          <w:b/>
        </w:rPr>
        <w:footnoteReference w:id="1"/>
      </w:r>
      <w:r w:rsidRPr="00774E8A">
        <w:rPr>
          <w:b/>
        </w:rPr>
        <w:t xml:space="preserve">) </w:t>
      </w:r>
    </w:p>
    <w:p w:rsidR="00D543C9" w:rsidRDefault="00D543C9" w:rsidP="007848F8"/>
    <w:p w:rsidR="00D543C9" w:rsidRDefault="00D543C9" w:rsidP="007848F8"/>
    <w:p w:rsidR="00D543C9" w:rsidRDefault="00D543C9" w:rsidP="007848F8">
      <w:r>
        <w:t>Sehr geehrter Herr......</w:t>
      </w:r>
    </w:p>
    <w:p w:rsidR="00D543C9" w:rsidRDefault="00D543C9" w:rsidP="007848F8">
      <w:r>
        <w:t xml:space="preserve">Sehr geehrte Damen und Herren </w:t>
      </w:r>
    </w:p>
    <w:p w:rsidR="00D543C9" w:rsidRDefault="00D543C9" w:rsidP="007848F8"/>
    <w:p w:rsidR="00774E8A" w:rsidRDefault="00774E8A" w:rsidP="007848F8"/>
    <w:p w:rsidR="00D543C9" w:rsidRDefault="00D543C9" w:rsidP="007848F8">
      <w:pPr>
        <w:numPr>
          <w:ilvl w:val="0"/>
          <w:numId w:val="29"/>
        </w:numPr>
        <w:tabs>
          <w:tab w:val="clear" w:pos="720"/>
          <w:tab w:val="clear" w:pos="5387"/>
        </w:tabs>
        <w:ind w:left="330"/>
        <w:rPr>
          <w:b/>
        </w:rPr>
      </w:pPr>
      <w:r w:rsidRPr="00774E8A">
        <w:rPr>
          <w:b/>
        </w:rPr>
        <w:t>Sachverhalt</w:t>
      </w:r>
    </w:p>
    <w:p w:rsidR="00774E8A" w:rsidRPr="00774E8A" w:rsidRDefault="00774E8A" w:rsidP="007848F8">
      <w:pPr>
        <w:tabs>
          <w:tab w:val="clear" w:pos="5387"/>
        </w:tabs>
        <w:ind w:left="-30"/>
        <w:rPr>
          <w:b/>
        </w:rPr>
      </w:pPr>
    </w:p>
    <w:p w:rsidR="004C4A25" w:rsidRDefault="00D543C9" w:rsidP="007848F8">
      <w:r>
        <w:t>Am</w:t>
      </w:r>
      <w:r w:rsidR="00F764A8">
        <w:t xml:space="preserve"> </w:t>
      </w:r>
      <w:r>
        <w:t xml:space="preserve">.... hat </w:t>
      </w:r>
      <w:r w:rsidR="004C4A25">
        <w:t xml:space="preserve">sich </w:t>
      </w:r>
      <w:r>
        <w:t>der in Deutschland wohnhafte Baugesuchsteller</w:t>
      </w:r>
      <w:proofErr w:type="gramStart"/>
      <w:r>
        <w:t xml:space="preserve"> ....</w:t>
      </w:r>
      <w:proofErr w:type="gramEnd"/>
      <w:r>
        <w:t xml:space="preserve">. an die </w:t>
      </w:r>
      <w:r w:rsidR="004C4A25">
        <w:t xml:space="preserve">Datenschutz- </w:t>
      </w:r>
      <w:r w:rsidR="004C4A25">
        <w:rPr>
          <w:rFonts w:cs="Arial"/>
        </w:rPr>
        <w:t>und Rechnungsprüfungskommission</w:t>
      </w:r>
      <w:r>
        <w:t xml:space="preserve"> gewandt. Er hat darauf hingewiesen, sein am</w:t>
      </w:r>
      <w:r w:rsidR="00F764A8">
        <w:t xml:space="preserve"> </w:t>
      </w:r>
      <w:r>
        <w:t>...... eingereichtes Baugesuch sei auf der Internetseite der G</w:t>
      </w:r>
      <w:r w:rsidR="001E2092">
        <w:t>emeinde publiziert. Durch „googl</w:t>
      </w:r>
      <w:r>
        <w:t>en“ seines Namens</w:t>
      </w:r>
      <w:r w:rsidR="00CE7796">
        <w:t xml:space="preserve"> werde dieses Baugesuch ersichtlich. Ersichtlich werde damit auch die von ihm auf dem Baugesuch angegebene nur</w:t>
      </w:r>
      <w:r w:rsidR="004C4A25">
        <w:t xml:space="preserve"> einem kleinen Kreis bekannte</w:t>
      </w:r>
      <w:r w:rsidR="00CE7796">
        <w:t xml:space="preserve"> persönliche Natelnummer sowie seine ebenfalls nur einem kleinen Kreis bekannte Mailadresse. Herr</w:t>
      </w:r>
      <w:proofErr w:type="gramStart"/>
      <w:r w:rsidR="00CE7796">
        <w:t xml:space="preserve"> ....</w:t>
      </w:r>
      <w:proofErr w:type="gramEnd"/>
      <w:r w:rsidR="00CE7796">
        <w:t>. erkundigte sich danach, ob er die Bekanntgabe seines Baugesuchs auf Internet akzeptie</w:t>
      </w:r>
      <w:r w:rsidR="001E2092">
        <w:t xml:space="preserve">ren müsse. </w:t>
      </w:r>
    </w:p>
    <w:p w:rsidR="00F764A8" w:rsidRDefault="00F764A8" w:rsidP="007848F8"/>
    <w:p w:rsidR="00D543C9" w:rsidRDefault="004C4A25" w:rsidP="007848F8">
      <w:r>
        <w:t>Die Bauverwaltung gab</w:t>
      </w:r>
      <w:r w:rsidR="00CE7796">
        <w:t xml:space="preserve"> der </w:t>
      </w:r>
      <w:r>
        <w:t xml:space="preserve">Datenschutz- </w:t>
      </w:r>
      <w:r>
        <w:rPr>
          <w:rFonts w:cs="Arial"/>
        </w:rPr>
        <w:t>und Rechnungsprüfungskommission</w:t>
      </w:r>
      <w:r>
        <w:t xml:space="preserve"> </w:t>
      </w:r>
      <w:r w:rsidR="00CE7796">
        <w:t xml:space="preserve">auf </w:t>
      </w:r>
      <w:r>
        <w:t>ihre</w:t>
      </w:r>
      <w:r w:rsidR="00CE7796">
        <w:t xml:space="preserve"> </w:t>
      </w:r>
      <w:r>
        <w:t xml:space="preserve">erste </w:t>
      </w:r>
      <w:r w:rsidR="00CE7796">
        <w:t xml:space="preserve">Rückfrage </w:t>
      </w:r>
      <w:r>
        <w:t xml:space="preserve">(Art. 35 Abs. 2 KDSG) </w:t>
      </w:r>
      <w:r w:rsidR="00CE7796">
        <w:t>hin bekannt, das Baubewilligungsverfahren von Herrn</w:t>
      </w:r>
      <w:r w:rsidR="00F764A8">
        <w:t xml:space="preserve"> </w:t>
      </w:r>
      <w:r w:rsidR="00CE7796">
        <w:t>.... sei in der Zwischenzeit abgeschlossen</w:t>
      </w:r>
      <w:r w:rsidR="00E07B76">
        <w:t xml:space="preserve"> </w:t>
      </w:r>
      <w:r w:rsidR="00CE7796">
        <w:t>und die Baubewilligung erteilt</w:t>
      </w:r>
      <w:r w:rsidR="00A1161D">
        <w:t xml:space="preserve"> worden</w:t>
      </w:r>
      <w:r w:rsidR="00CE7796">
        <w:t xml:space="preserve">. Auf diesen Zeitpunkt hin habe die Bauverwaltung das Baugesuch von der Internetseite entfernt. </w:t>
      </w:r>
    </w:p>
    <w:p w:rsidR="00CE7796" w:rsidRDefault="00CE7796" w:rsidP="007848F8"/>
    <w:p w:rsidR="00F764A8" w:rsidRDefault="00CE7796" w:rsidP="007848F8">
      <w:r>
        <w:t xml:space="preserve">Die </w:t>
      </w:r>
      <w:r w:rsidR="004C4A25">
        <w:t xml:space="preserve">Datenschutz- </w:t>
      </w:r>
      <w:r w:rsidR="004C4A25">
        <w:rPr>
          <w:rFonts w:cs="Arial"/>
        </w:rPr>
        <w:t>und Rechnungsprüfungskommission</w:t>
      </w:r>
      <w:r w:rsidR="004C4A25">
        <w:t xml:space="preserve"> </w:t>
      </w:r>
      <w:r>
        <w:t xml:space="preserve">hat nach dieser Antwort die Internetseite der Gemeinde überprüft und festgestellt, dass das Baugesuch von Herrn .... tatsächlich entfernt </w:t>
      </w:r>
      <w:r w:rsidR="004C4A25">
        <w:t xml:space="preserve">worden </w:t>
      </w:r>
      <w:r>
        <w:t xml:space="preserve">war. </w:t>
      </w:r>
    </w:p>
    <w:p w:rsidR="00F764A8" w:rsidRDefault="00F764A8" w:rsidP="007848F8"/>
    <w:p w:rsidR="004C4A25" w:rsidRDefault="00CE7796" w:rsidP="007848F8">
      <w:r>
        <w:t>Sie hat aber gleichzeitig festgestellt, dass vier andere Baugesuche</w:t>
      </w:r>
      <w:r w:rsidR="00585167">
        <w:t xml:space="preserve"> auf der Internetseite publiziert sind. Mit </w:t>
      </w:r>
      <w:r w:rsidR="004C4A25">
        <w:t>ihrer zweiten Rückfrage vom</w:t>
      </w:r>
      <w:r w:rsidR="00F764A8">
        <w:t xml:space="preserve"> </w:t>
      </w:r>
      <w:r w:rsidR="004C4A25">
        <w:t>.... hat sie der</w:t>
      </w:r>
      <w:r w:rsidR="00585167">
        <w:t xml:space="preserve"> Bauverwaltung die Frage unterbreitet, ob das Publizieren von Baugesuche</w:t>
      </w:r>
      <w:r w:rsidR="00F764A8">
        <w:t>n</w:t>
      </w:r>
      <w:r w:rsidR="00585167">
        <w:t xml:space="preserve"> auf der Internetseite der Gemeinde gängige Praxis sei und auf welche Rechtsgrundlagen sich die Bauverwaltung bei diesem Vorgehen stütze. Mit Schreiben vom</w:t>
      </w:r>
      <w:proofErr w:type="gramStart"/>
      <w:r w:rsidR="00585167">
        <w:t xml:space="preserve"> ....</w:t>
      </w:r>
      <w:proofErr w:type="gramEnd"/>
      <w:r w:rsidR="00585167">
        <w:t xml:space="preserve">. antwortete die Bauverwaltung, Baugesuche seien nach der Baugesetzgebung öffentlich aufzulegen und es mache im Zeitalter von Internet keinen Sinn, diese Auflage nicht auch im Internet durchzuführen. </w:t>
      </w:r>
    </w:p>
    <w:p w:rsidR="00F764A8" w:rsidRDefault="00F764A8" w:rsidP="007848F8"/>
    <w:p w:rsidR="00CE7796" w:rsidRDefault="00585167" w:rsidP="007848F8">
      <w:r>
        <w:t>Die Datenschutzaufsichtsstelle informierte den Bauverwalter daraufhin mündlich, eine Bekanntgabe von öffentl</w:t>
      </w:r>
      <w:r w:rsidR="004C4A25">
        <w:t>ichen Daten auf Internet benötige eine ausdrückliche</w:t>
      </w:r>
      <w:r>
        <w:t xml:space="preserve"> Rechtsgrundlage (Art. 2 der Datenschutzv</w:t>
      </w:r>
      <w:r w:rsidR="004C4A25">
        <w:t>erordnung</w:t>
      </w:r>
      <w:r w:rsidR="00047ECE">
        <w:rPr>
          <w:rStyle w:val="Funotenzeichen"/>
          <w:rFonts w:cs="Arial"/>
        </w:rPr>
        <w:footnoteReference w:id="2"/>
      </w:r>
      <w:r w:rsidR="004C4A25">
        <w:t>). Diese fehle, und der Bauverwaltung werde empfohl</w:t>
      </w:r>
      <w:r>
        <w:t>en, die publizierten Baugesuche von der Internetseite zu entfernen. Mit Schreiben vom</w:t>
      </w:r>
      <w:proofErr w:type="gramStart"/>
      <w:r>
        <w:t xml:space="preserve"> ....</w:t>
      </w:r>
      <w:proofErr w:type="gramEnd"/>
      <w:r>
        <w:t xml:space="preserve">. antwortete die Bauverwaltung, sie </w:t>
      </w:r>
      <w:r w:rsidR="007F1572">
        <w:t>halte an ihrer Auffassung fest.</w:t>
      </w:r>
      <w:r>
        <w:t xml:space="preserve"> </w:t>
      </w:r>
      <w:r w:rsidR="007F1572">
        <w:t>D</w:t>
      </w:r>
      <w:r>
        <w:t xml:space="preserve">ie Baugesetzgebung </w:t>
      </w:r>
      <w:r w:rsidR="007F1572">
        <w:t xml:space="preserve">bilde </w:t>
      </w:r>
      <w:r>
        <w:t xml:space="preserve">eine genügende Rechtsgrundlage für die Publikation auf Internet </w:t>
      </w:r>
      <w:r w:rsidR="007F1572">
        <w:t>und d</w:t>
      </w:r>
      <w:r>
        <w:t xml:space="preserve">ie </w:t>
      </w:r>
      <w:r w:rsidR="007F1572">
        <w:t xml:space="preserve">Bauverwaltung </w:t>
      </w:r>
      <w:r>
        <w:t>werde die publizierten Baugesuche weder von der Inter</w:t>
      </w:r>
      <w:r w:rsidR="007F1572">
        <w:t>netseite entfernen noch künftig</w:t>
      </w:r>
      <w:r>
        <w:t xml:space="preserve"> Publikationen neuer Baugesuche unterlassen. </w:t>
      </w:r>
    </w:p>
    <w:p w:rsidR="00585167" w:rsidRDefault="00585167" w:rsidP="007848F8"/>
    <w:p w:rsidR="00774E8A" w:rsidRDefault="00774E8A" w:rsidP="007848F8"/>
    <w:p w:rsidR="00585167" w:rsidRDefault="00585167" w:rsidP="007848F8">
      <w:pPr>
        <w:numPr>
          <w:ilvl w:val="0"/>
          <w:numId w:val="29"/>
        </w:numPr>
        <w:tabs>
          <w:tab w:val="clear" w:pos="720"/>
          <w:tab w:val="clear" w:pos="5387"/>
        </w:tabs>
        <w:ind w:left="330"/>
        <w:rPr>
          <w:b/>
        </w:rPr>
      </w:pPr>
      <w:r w:rsidRPr="00774E8A">
        <w:rPr>
          <w:b/>
        </w:rPr>
        <w:t>Begründete</w:t>
      </w:r>
      <w:r w:rsidR="009C15E6">
        <w:rPr>
          <w:b/>
        </w:rPr>
        <w:t>r Antrag</w:t>
      </w:r>
      <w:r w:rsidRPr="00774E8A">
        <w:rPr>
          <w:b/>
        </w:rPr>
        <w:t xml:space="preserve"> </w:t>
      </w:r>
    </w:p>
    <w:p w:rsidR="00774E8A" w:rsidRPr="00774E8A" w:rsidRDefault="00774E8A" w:rsidP="007848F8">
      <w:pPr>
        <w:tabs>
          <w:tab w:val="clear" w:pos="5387"/>
        </w:tabs>
        <w:ind w:left="-30"/>
        <w:rPr>
          <w:b/>
        </w:rPr>
      </w:pPr>
    </w:p>
    <w:p w:rsidR="00585167" w:rsidRDefault="00585167" w:rsidP="007848F8">
      <w:r>
        <w:t xml:space="preserve">Art. 2 der Datenschutzverordnung </w:t>
      </w:r>
      <w:r w:rsidR="007F1572">
        <w:t xml:space="preserve">hat </w:t>
      </w:r>
      <w:r>
        <w:t xml:space="preserve">folgenden Wortlaut: </w:t>
      </w:r>
    </w:p>
    <w:p w:rsidR="00585167" w:rsidRDefault="007F1572" w:rsidP="007848F8">
      <w:pPr>
        <w:ind w:left="709"/>
        <w:rPr>
          <w:rFonts w:cs="Arial"/>
        </w:rPr>
      </w:pPr>
      <w:r>
        <w:t>„</w:t>
      </w:r>
      <w:r w:rsidR="00585167">
        <w:rPr>
          <w:rFonts w:cs="Arial"/>
        </w:rPr>
        <w:t>Werden Personendaten mittels automatisierter Informations- und Kommunikationsdienste zwecks Information der Öffentlichkeit zugänglich gemacht, so stellt die verantwortliche Behörde sicher, dass die Rechtsgrundlage auch die Datenbekanntgabe ins Ausland erlaubt.</w:t>
      </w:r>
      <w:r>
        <w:rPr>
          <w:rFonts w:cs="Arial"/>
        </w:rPr>
        <w:t>“</w:t>
      </w:r>
      <w:r w:rsidR="00585167">
        <w:rPr>
          <w:rFonts w:cs="Arial"/>
        </w:rPr>
        <w:t xml:space="preserve"> </w:t>
      </w:r>
    </w:p>
    <w:p w:rsidR="00585167" w:rsidRDefault="00585167" w:rsidP="007848F8">
      <w:pPr>
        <w:rPr>
          <w:rFonts w:cs="Arial"/>
        </w:rPr>
      </w:pPr>
    </w:p>
    <w:p w:rsidR="00585167" w:rsidRDefault="00585167" w:rsidP="007848F8">
      <w:pPr>
        <w:rPr>
          <w:rFonts w:cs="Arial"/>
        </w:rPr>
      </w:pPr>
      <w:r>
        <w:rPr>
          <w:rFonts w:cs="Arial"/>
        </w:rPr>
        <w:t>Es trifft zu, dass die Baugesetzgebung die öffentliche Auf</w:t>
      </w:r>
      <w:r w:rsidR="007F1572">
        <w:rPr>
          <w:rFonts w:cs="Arial"/>
        </w:rPr>
        <w:t>lage von Baugesuchen vorschreibt</w:t>
      </w:r>
      <w:r>
        <w:rPr>
          <w:rFonts w:cs="Arial"/>
        </w:rPr>
        <w:t xml:space="preserve"> (Art. 26</w:t>
      </w:r>
      <w:r w:rsidR="007F1572">
        <w:rPr>
          <w:rFonts w:cs="Arial"/>
        </w:rPr>
        <w:t xml:space="preserve"> </w:t>
      </w:r>
      <w:r w:rsidR="00047ECE">
        <w:rPr>
          <w:rFonts w:cs="Arial"/>
        </w:rPr>
        <w:t>-</w:t>
      </w:r>
      <w:r w:rsidR="007F1572">
        <w:rPr>
          <w:rFonts w:cs="Arial"/>
        </w:rPr>
        <w:t xml:space="preserve"> 28 des Baubewilligungsdekret</w:t>
      </w:r>
      <w:r>
        <w:rPr>
          <w:rFonts w:cs="Arial"/>
        </w:rPr>
        <w:t>s</w:t>
      </w:r>
      <w:r w:rsidR="00047ECE">
        <w:rPr>
          <w:rStyle w:val="Funotenzeichen"/>
          <w:rFonts w:cs="Arial"/>
        </w:rPr>
        <w:footnoteReference w:id="3"/>
      </w:r>
      <w:r>
        <w:rPr>
          <w:rFonts w:cs="Arial"/>
        </w:rPr>
        <w:t xml:space="preserve">). Die Bestimmungen </w:t>
      </w:r>
      <w:r w:rsidR="007F1572">
        <w:rPr>
          <w:rFonts w:cs="Arial"/>
        </w:rPr>
        <w:t xml:space="preserve">des Baubewilligungsdekrets </w:t>
      </w:r>
      <w:r>
        <w:rPr>
          <w:rFonts w:cs="Arial"/>
        </w:rPr>
        <w:t>sehen jedoch einzig vor, dass eine Veröffentlichung in zwei aufeinanderfolgenden Nummern des amtlichen Anzeigers erfolgt. Das Gesuch selbst ist einzig bei der Gemeindeverwaltung zur Einsichtnahme aufzulegen. Eine Vorschrift, die eine Bekanntgabe auch auf Internet stützen könnte, fehlt. Insbesondere fehlen solche Vorgaben auch in der Informationsgesetzgebung. Das Amt für</w:t>
      </w:r>
      <w:r w:rsidR="007F1572">
        <w:rPr>
          <w:rFonts w:cs="Arial"/>
        </w:rPr>
        <w:t xml:space="preserve"> Gemeinden und Raumordnung hat</w:t>
      </w:r>
      <w:r>
        <w:rPr>
          <w:rFonts w:cs="Arial"/>
        </w:rPr>
        <w:t xml:space="preserve"> </w:t>
      </w:r>
      <w:r w:rsidR="007F1572">
        <w:rPr>
          <w:rFonts w:cs="Arial"/>
        </w:rPr>
        <w:t xml:space="preserve">gerade </w:t>
      </w:r>
      <w:r>
        <w:rPr>
          <w:rFonts w:cs="Arial"/>
        </w:rPr>
        <w:t xml:space="preserve">auch weil Vorschriften über die Bekanntgabe von öffentlichen Informationen auf Internet fehlen, eine entsprechende Musterrechtsgrundlage ausgearbeitet </w:t>
      </w:r>
      <w:r w:rsidR="007F1572">
        <w:rPr>
          <w:rFonts w:cs="Arial"/>
        </w:rPr>
        <w:t>(</w:t>
      </w:r>
      <w:r w:rsidR="00774E8A">
        <w:rPr>
          <w:rFonts w:cs="Arial"/>
        </w:rPr>
        <w:t xml:space="preserve">Musterverordnung über die Internetbekanntgabe </w:t>
      </w:r>
      <w:r w:rsidR="007F1572">
        <w:rPr>
          <w:rFonts w:cs="Arial"/>
        </w:rPr>
        <w:t>von öffentlichen Informationen; auf der Seite des Amt</w:t>
      </w:r>
      <w:r w:rsidR="00774E8A">
        <w:rPr>
          <w:rFonts w:cs="Arial"/>
        </w:rPr>
        <w:t>s für Gemeinden und Raumordnung abrufbar unter</w:t>
      </w:r>
      <w:r w:rsidR="007F1572">
        <w:rPr>
          <w:rFonts w:cs="Arial"/>
        </w:rPr>
        <w:t xml:space="preserve"> </w:t>
      </w:r>
      <w:hyperlink r:id="rId7" w:history="1">
        <w:r w:rsidR="00F177EB" w:rsidRPr="00F06562">
          <w:rPr>
            <w:rStyle w:val="Hyperlink"/>
            <w:rFonts w:cs="Arial"/>
          </w:rPr>
          <w:t>http://www.jgk.be.ch/jgk/de/index/gemeinden/gemeinden/gemeinderecht/datenschutz/dokumente.html</w:t>
        </w:r>
      </w:hyperlink>
      <w:r w:rsidR="00774E8A">
        <w:rPr>
          <w:rFonts w:cs="Arial"/>
        </w:rPr>
        <w:t xml:space="preserve">). Die Gemeinde hat </w:t>
      </w:r>
      <w:r w:rsidR="00DA2142">
        <w:rPr>
          <w:rFonts w:cs="Arial"/>
        </w:rPr>
        <w:t xml:space="preserve">diese Verordnung </w:t>
      </w:r>
      <w:r w:rsidR="00774E8A">
        <w:rPr>
          <w:rFonts w:cs="Arial"/>
        </w:rPr>
        <w:t>bis heute nicht übernommen</w:t>
      </w:r>
      <w:r w:rsidR="007F1572">
        <w:rPr>
          <w:rFonts w:cs="Arial"/>
        </w:rPr>
        <w:t>.</w:t>
      </w:r>
      <w:r w:rsidR="00774E8A">
        <w:rPr>
          <w:rFonts w:cs="Arial"/>
        </w:rPr>
        <w:t xml:space="preserve"> </w:t>
      </w:r>
      <w:r w:rsidR="007F1572">
        <w:rPr>
          <w:rFonts w:cs="Arial"/>
        </w:rPr>
        <w:t>Sie</w:t>
      </w:r>
      <w:r w:rsidR="00774E8A">
        <w:rPr>
          <w:rFonts w:cs="Arial"/>
        </w:rPr>
        <w:t xml:space="preserve"> hat </w:t>
      </w:r>
      <w:r w:rsidR="00F82B1B">
        <w:rPr>
          <w:rFonts w:cs="Arial"/>
        </w:rPr>
        <w:t>auch nicht</w:t>
      </w:r>
      <w:r w:rsidR="00774E8A">
        <w:rPr>
          <w:rFonts w:cs="Arial"/>
        </w:rPr>
        <w:t xml:space="preserve"> in anderen Gemeind</w:t>
      </w:r>
      <w:r w:rsidR="00F82B1B">
        <w:rPr>
          <w:rFonts w:cs="Arial"/>
        </w:rPr>
        <w:t>ereglementen oder Gemeindeverordnungen</w:t>
      </w:r>
      <w:r w:rsidR="00774E8A">
        <w:rPr>
          <w:rFonts w:cs="Arial"/>
        </w:rPr>
        <w:t xml:space="preserve"> eine Rechtsgrundlage für die Bekanntgabe </w:t>
      </w:r>
      <w:r w:rsidR="00F82B1B">
        <w:rPr>
          <w:rFonts w:cs="Arial"/>
        </w:rPr>
        <w:t xml:space="preserve">von öffentlichen Informationen </w:t>
      </w:r>
      <w:r w:rsidR="00774E8A">
        <w:rPr>
          <w:rFonts w:cs="Arial"/>
        </w:rPr>
        <w:t>auf der Int</w:t>
      </w:r>
      <w:r w:rsidR="007F1572">
        <w:rPr>
          <w:rFonts w:cs="Arial"/>
        </w:rPr>
        <w:t xml:space="preserve">ernetseite der Gemeinde </w:t>
      </w:r>
      <w:r w:rsidR="00F82B1B">
        <w:rPr>
          <w:rFonts w:cs="Arial"/>
        </w:rPr>
        <w:t>geschaffen</w:t>
      </w:r>
      <w:r w:rsidR="00774E8A">
        <w:rPr>
          <w:rFonts w:cs="Arial"/>
        </w:rPr>
        <w:t>. Der Gemeinde feh</w:t>
      </w:r>
      <w:r w:rsidR="001E2092">
        <w:rPr>
          <w:rFonts w:cs="Arial"/>
        </w:rPr>
        <w:t>l</w:t>
      </w:r>
      <w:r w:rsidR="00774E8A">
        <w:rPr>
          <w:rFonts w:cs="Arial"/>
        </w:rPr>
        <w:t>t dam</w:t>
      </w:r>
      <w:r w:rsidR="007F1572">
        <w:rPr>
          <w:rFonts w:cs="Arial"/>
        </w:rPr>
        <w:t>it</w:t>
      </w:r>
      <w:r w:rsidR="00F82B1B">
        <w:rPr>
          <w:rFonts w:cs="Arial"/>
        </w:rPr>
        <w:t xml:space="preserve"> </w:t>
      </w:r>
      <w:r w:rsidR="00F82B1B">
        <w:rPr>
          <w:rFonts w:cs="Arial"/>
        </w:rPr>
        <w:lastRenderedPageBreak/>
        <w:t>die</w:t>
      </w:r>
      <w:r w:rsidR="007F1572">
        <w:rPr>
          <w:rFonts w:cs="Arial"/>
        </w:rPr>
        <w:t xml:space="preserve"> im Sinn</w:t>
      </w:r>
      <w:r w:rsidR="00774E8A">
        <w:rPr>
          <w:rFonts w:cs="Arial"/>
        </w:rPr>
        <w:t xml:space="preserve"> von Art. 2 der Datenschutzverordnung</w:t>
      </w:r>
      <w:r w:rsidR="00F82B1B" w:rsidRPr="00F82B1B">
        <w:rPr>
          <w:rFonts w:cs="Arial"/>
        </w:rPr>
        <w:t xml:space="preserve"> </w:t>
      </w:r>
      <w:r w:rsidR="00F82B1B">
        <w:rPr>
          <w:rFonts w:cs="Arial"/>
        </w:rPr>
        <w:t>erforderliche Rechtsgrundlage</w:t>
      </w:r>
      <w:r w:rsidR="00774E8A">
        <w:rPr>
          <w:rFonts w:cs="Arial"/>
        </w:rPr>
        <w:t xml:space="preserve">. </w:t>
      </w:r>
      <w:r w:rsidR="00F82B1B">
        <w:rPr>
          <w:rFonts w:cs="Arial"/>
        </w:rPr>
        <w:t xml:space="preserve">Ein Bekanntgeben auf Internet macht die Daten „weltweit und ewig“ zugänglich. </w:t>
      </w:r>
      <w:r w:rsidR="00774E8A">
        <w:rPr>
          <w:rFonts w:cs="Arial"/>
        </w:rPr>
        <w:t>Das unter A) gezeigte Beispiel</w:t>
      </w:r>
      <w:r w:rsidR="00F82B1B">
        <w:rPr>
          <w:rFonts w:cs="Arial"/>
        </w:rPr>
        <w:t xml:space="preserve"> von Herrn .... zeigt, dass das </w:t>
      </w:r>
      <w:r w:rsidR="00774E8A">
        <w:rPr>
          <w:rFonts w:cs="Arial"/>
        </w:rPr>
        <w:t>für die Betroffenen durchaus mit Ge</w:t>
      </w:r>
      <w:r w:rsidR="00F82B1B">
        <w:rPr>
          <w:rFonts w:cs="Arial"/>
        </w:rPr>
        <w:t>fahren verbunden sein kann. D</w:t>
      </w:r>
      <w:r w:rsidR="00774E8A">
        <w:rPr>
          <w:rFonts w:cs="Arial"/>
        </w:rPr>
        <w:t xml:space="preserve">ie </w:t>
      </w:r>
      <w:r w:rsidR="00F82B1B">
        <w:rPr>
          <w:rFonts w:cs="Arial"/>
        </w:rPr>
        <w:t xml:space="preserve">widerrechtliche </w:t>
      </w:r>
      <w:r w:rsidR="00774E8A">
        <w:rPr>
          <w:rFonts w:cs="Arial"/>
        </w:rPr>
        <w:t xml:space="preserve">Bekanntgabe auf Internet </w:t>
      </w:r>
      <w:r w:rsidR="00F82B1B">
        <w:rPr>
          <w:rFonts w:cs="Arial"/>
        </w:rPr>
        <w:t xml:space="preserve">ist daher </w:t>
      </w:r>
      <w:r w:rsidR="00774E8A">
        <w:rPr>
          <w:rFonts w:cs="Arial"/>
        </w:rPr>
        <w:t xml:space="preserve">einzustellen. </w:t>
      </w:r>
    </w:p>
    <w:p w:rsidR="00F82B1B" w:rsidRDefault="00F82B1B" w:rsidP="007848F8">
      <w:pPr>
        <w:rPr>
          <w:rFonts w:cs="Arial"/>
        </w:rPr>
      </w:pPr>
    </w:p>
    <w:p w:rsidR="00774E8A" w:rsidRPr="00774E8A" w:rsidRDefault="00774E8A" w:rsidP="007848F8">
      <w:pPr>
        <w:ind w:left="709"/>
        <w:outlineLvl w:val="0"/>
        <w:rPr>
          <w:rFonts w:cs="Arial"/>
          <w:b/>
        </w:rPr>
      </w:pPr>
      <w:r w:rsidRPr="00774E8A">
        <w:rPr>
          <w:rFonts w:cs="Arial"/>
          <w:b/>
        </w:rPr>
        <w:t xml:space="preserve">Antrag </w:t>
      </w:r>
    </w:p>
    <w:p w:rsidR="00774E8A" w:rsidRDefault="00774E8A" w:rsidP="007848F8">
      <w:pPr>
        <w:ind w:left="709"/>
        <w:rPr>
          <w:rFonts w:cs="Arial"/>
        </w:rPr>
      </w:pPr>
      <w:r>
        <w:rPr>
          <w:rFonts w:cs="Arial"/>
        </w:rPr>
        <w:t>Die zurzeit auf der Internetseite der Gemeinde publizierten Baugesuche sind umgehend von der Internetseite zu entfernen. Bis zum Erlass einer genügenden Rechtsgrundlage ist eine Publikation von Baugesuche</w:t>
      </w:r>
      <w:r w:rsidR="00DA2142">
        <w:rPr>
          <w:rFonts w:cs="Arial"/>
        </w:rPr>
        <w:t>n</w:t>
      </w:r>
      <w:r>
        <w:rPr>
          <w:rFonts w:cs="Arial"/>
        </w:rPr>
        <w:t xml:space="preserve"> auf der Internetseite der Gemeinde zu unterlassen. </w:t>
      </w:r>
    </w:p>
    <w:p w:rsidR="00F82B1B" w:rsidRDefault="00F82B1B" w:rsidP="007848F8">
      <w:pPr>
        <w:rPr>
          <w:rFonts w:cs="Arial"/>
        </w:rPr>
      </w:pPr>
    </w:p>
    <w:p w:rsidR="00DA2142" w:rsidRDefault="00DA2142" w:rsidP="007848F8">
      <w:pPr>
        <w:rPr>
          <w:rFonts w:cs="Arial"/>
        </w:rPr>
      </w:pPr>
    </w:p>
    <w:p w:rsidR="00774E8A" w:rsidRDefault="00774E8A" w:rsidP="007848F8">
      <w:pPr>
        <w:numPr>
          <w:ilvl w:val="0"/>
          <w:numId w:val="29"/>
        </w:numPr>
        <w:tabs>
          <w:tab w:val="clear" w:pos="720"/>
          <w:tab w:val="clear" w:pos="5387"/>
        </w:tabs>
        <w:ind w:left="330"/>
        <w:rPr>
          <w:rFonts w:cs="Arial"/>
          <w:b/>
        </w:rPr>
      </w:pPr>
      <w:r w:rsidRPr="00774E8A">
        <w:rPr>
          <w:rFonts w:cs="Arial"/>
          <w:b/>
        </w:rPr>
        <w:t xml:space="preserve">Belehrung zur Ablehnungsmöglichkeit und zum Fristenlauf </w:t>
      </w:r>
    </w:p>
    <w:p w:rsidR="001E2092" w:rsidRPr="00774E8A" w:rsidRDefault="001E2092" w:rsidP="007848F8">
      <w:pPr>
        <w:tabs>
          <w:tab w:val="clear" w:pos="5387"/>
        </w:tabs>
        <w:ind w:left="-30"/>
        <w:rPr>
          <w:rFonts w:cs="Arial"/>
          <w:b/>
        </w:rPr>
      </w:pPr>
    </w:p>
    <w:p w:rsidR="00774E8A" w:rsidRDefault="00F82B1B" w:rsidP="007848F8">
      <w:pPr>
        <w:rPr>
          <w:rFonts w:cs="Arial"/>
        </w:rPr>
      </w:pPr>
      <w:r>
        <w:rPr>
          <w:rFonts w:cs="Arial"/>
        </w:rPr>
        <w:t>Will die Bauverwaltung d</w:t>
      </w:r>
      <w:r w:rsidR="00774E8A">
        <w:rPr>
          <w:rFonts w:cs="Arial"/>
        </w:rPr>
        <w:t>e</w:t>
      </w:r>
      <w:r w:rsidR="00DA2142">
        <w:rPr>
          <w:rFonts w:cs="Arial"/>
        </w:rPr>
        <w:t>m</w:t>
      </w:r>
      <w:r w:rsidR="00774E8A">
        <w:rPr>
          <w:rFonts w:cs="Arial"/>
        </w:rPr>
        <w:t xml:space="preserve"> unter B) formulierten Antrag der </w:t>
      </w:r>
      <w:r>
        <w:rPr>
          <w:rFonts w:cs="Arial"/>
        </w:rPr>
        <w:t xml:space="preserve">Datenschutz- und Rechnungsprüfungskommission </w:t>
      </w:r>
      <w:r w:rsidR="00774E8A">
        <w:rPr>
          <w:rFonts w:cs="Arial"/>
        </w:rPr>
        <w:t xml:space="preserve">nicht oder </w:t>
      </w:r>
      <w:r>
        <w:rPr>
          <w:rFonts w:cs="Arial"/>
        </w:rPr>
        <w:t xml:space="preserve">nur </w:t>
      </w:r>
      <w:r w:rsidR="00774E8A">
        <w:rPr>
          <w:rFonts w:cs="Arial"/>
        </w:rPr>
        <w:t>zum Teil stattgeben, hat sie innert 30 Tagen</w:t>
      </w:r>
      <w:r>
        <w:rPr>
          <w:rFonts w:cs="Arial"/>
        </w:rPr>
        <w:t xml:space="preserve"> seit der Zustellung des Antrag</w:t>
      </w:r>
      <w:r w:rsidR="00774E8A">
        <w:rPr>
          <w:rFonts w:cs="Arial"/>
        </w:rPr>
        <w:t>s eine entsprechende Verfügung zu erlassen. Diese ist der Datenschutz</w:t>
      </w:r>
      <w:r w:rsidR="00DA2142">
        <w:rPr>
          <w:rFonts w:cs="Arial"/>
        </w:rPr>
        <w:t>- und Rechnungsprüfungskommission</w:t>
      </w:r>
      <w:r w:rsidR="00774E8A">
        <w:rPr>
          <w:rFonts w:cs="Arial"/>
        </w:rPr>
        <w:t xml:space="preserve"> zu eröffnen (Art. 35 Abs. 4 i</w:t>
      </w:r>
      <w:r>
        <w:rPr>
          <w:rFonts w:cs="Arial"/>
        </w:rPr>
        <w:t>.</w:t>
      </w:r>
      <w:r w:rsidR="00774E8A">
        <w:rPr>
          <w:rFonts w:cs="Arial"/>
        </w:rPr>
        <w:t>V</w:t>
      </w:r>
      <w:r>
        <w:rPr>
          <w:rFonts w:cs="Arial"/>
        </w:rPr>
        <w:t>.</w:t>
      </w:r>
      <w:r w:rsidR="00774E8A">
        <w:rPr>
          <w:rFonts w:cs="Arial"/>
        </w:rPr>
        <w:t>m</w:t>
      </w:r>
      <w:r>
        <w:rPr>
          <w:rFonts w:cs="Arial"/>
        </w:rPr>
        <w:t>.</w:t>
      </w:r>
      <w:r w:rsidR="00774E8A">
        <w:rPr>
          <w:rFonts w:cs="Arial"/>
        </w:rPr>
        <w:t xml:space="preserve"> Art. 26 KDSG). </w:t>
      </w:r>
    </w:p>
    <w:p w:rsidR="00CC2926" w:rsidRDefault="00CC2926" w:rsidP="007848F8">
      <w:pPr>
        <w:rPr>
          <w:rFonts w:cs="Arial"/>
        </w:rPr>
      </w:pPr>
    </w:p>
    <w:p w:rsidR="00CC2926" w:rsidRPr="00CC2926" w:rsidRDefault="00CC2926" w:rsidP="007848F8">
      <w:r>
        <w:tab/>
      </w:r>
      <w:r w:rsidRPr="00CC2926">
        <w:t>Freundliche Grüsse</w:t>
      </w:r>
    </w:p>
    <w:p w:rsidR="00CC2926" w:rsidRPr="00CC2926" w:rsidRDefault="00CC2926" w:rsidP="007848F8"/>
    <w:p w:rsidR="00CC2926" w:rsidRPr="00CC2926" w:rsidRDefault="00CC2926" w:rsidP="007848F8">
      <w:r w:rsidRPr="00CC2926">
        <w:tab/>
        <w:t>Datenschutz- und Rechnungsprüfungs-</w:t>
      </w:r>
      <w:r w:rsidRPr="00CC2926">
        <w:tab/>
      </w:r>
      <w:proofErr w:type="spellStart"/>
      <w:r w:rsidRPr="00CC2926">
        <w:t>kommission</w:t>
      </w:r>
      <w:proofErr w:type="spellEnd"/>
      <w:r w:rsidRPr="00CC2926">
        <w:t xml:space="preserve"> der Gemeinde</w:t>
      </w:r>
      <w:r w:rsidR="009C15E6">
        <w:t xml:space="preserve"> …</w:t>
      </w:r>
      <w:r w:rsidRPr="00CC2926">
        <w:t xml:space="preserve"> </w:t>
      </w:r>
    </w:p>
    <w:p w:rsidR="00CC2926" w:rsidRPr="00CC2926" w:rsidRDefault="00CC2926" w:rsidP="007848F8"/>
    <w:p w:rsidR="00CC2926" w:rsidRPr="00CC2926" w:rsidRDefault="00CC2926" w:rsidP="007848F8"/>
    <w:p w:rsidR="00CC2926" w:rsidRPr="00CC2926" w:rsidRDefault="00CC2926" w:rsidP="007848F8"/>
    <w:p w:rsidR="00CC2926" w:rsidRPr="00CC2926" w:rsidRDefault="00CC2926" w:rsidP="007848F8">
      <w:r w:rsidRPr="00CC2926">
        <w:tab/>
        <w:t>D</w:t>
      </w:r>
      <w:r>
        <w:t xml:space="preserve">ie Präsidentin             </w:t>
      </w:r>
      <w:r w:rsidRPr="00CC2926">
        <w:t>Der Sekretär</w:t>
      </w:r>
    </w:p>
    <w:p w:rsidR="00CC2926" w:rsidRDefault="00CC2926" w:rsidP="007848F8"/>
    <w:p w:rsidR="00CC2926" w:rsidRDefault="00CC2926" w:rsidP="007848F8"/>
    <w:p w:rsidR="00CC2926" w:rsidRDefault="00CC2926" w:rsidP="007848F8">
      <w:r>
        <w:tab/>
        <w:t>.............................        ..........................</w:t>
      </w:r>
    </w:p>
    <w:p w:rsidR="00CC2926" w:rsidRDefault="00CC2926" w:rsidP="007848F8"/>
    <w:p w:rsidR="00CC2926" w:rsidRDefault="00CC2926" w:rsidP="007848F8">
      <w:pPr>
        <w:pBdr>
          <w:top w:val="single" w:sz="4" w:space="1" w:color="auto"/>
        </w:pBdr>
      </w:pPr>
    </w:p>
    <w:p w:rsidR="00F82B1B" w:rsidRPr="007848F8" w:rsidRDefault="00F82B1B" w:rsidP="007848F8"/>
    <w:p w:rsidR="00F82B1B" w:rsidRPr="007848F8" w:rsidRDefault="00F82B1B" w:rsidP="007848F8">
      <w:pPr>
        <w:rPr>
          <w:b/>
          <w:i/>
        </w:rPr>
      </w:pPr>
      <w:r w:rsidRPr="007848F8">
        <w:rPr>
          <w:b/>
          <w:i/>
        </w:rPr>
        <w:t>Anmerkung:</w:t>
      </w:r>
    </w:p>
    <w:p w:rsidR="00682C7F" w:rsidRPr="007848F8" w:rsidRDefault="00F82B1B" w:rsidP="007848F8">
      <w:pPr>
        <w:rPr>
          <w:i/>
        </w:rPr>
      </w:pPr>
      <w:r w:rsidRPr="007848F8">
        <w:rPr>
          <w:i/>
        </w:rPr>
        <w:t xml:space="preserve">Lehnt die Bauverwaltung den Antrag innert 30 </w:t>
      </w:r>
      <w:r w:rsidR="00682C7F" w:rsidRPr="007848F8">
        <w:rPr>
          <w:i/>
        </w:rPr>
        <w:t xml:space="preserve">Tagen mit Verfügung ab, steht es der Datenschutz- und Rechnungsprüfungskommission der Gemeinde ihrerseits zu, innert 30 Tagen beim Regierungsstatthalteramt Beschwerde zu führen. Für dieses Beschwerdeverfahren dürfen der Datenschutz- und Rechnungsprüfungskommission der Gemeinde - auch wenn ihre Beschwerde abgewiesen wird - keine Kosten auferlegt werden. Die Datenschutz- und Rechnungsprüfungskommission kann für das Ausarbeiten der Beschwerde einen Anwalt beiziehen. </w:t>
      </w:r>
      <w:r w:rsidR="00F42F1D" w:rsidRPr="007848F8">
        <w:rPr>
          <w:i/>
        </w:rPr>
        <w:t xml:space="preserve">Das Gemeindereglement muss </w:t>
      </w:r>
      <w:r w:rsidR="00682C7F" w:rsidRPr="007848F8">
        <w:rPr>
          <w:i/>
        </w:rPr>
        <w:t>hierzu einen Kredit zur Verfügung stellen. Die minimalen Kredite sind i</w:t>
      </w:r>
      <w:r w:rsidR="007848F8">
        <w:rPr>
          <w:i/>
        </w:rPr>
        <w:t>n</w:t>
      </w:r>
      <w:r w:rsidR="00682C7F" w:rsidRPr="007848F8">
        <w:rPr>
          <w:i/>
        </w:rPr>
        <w:t xml:space="preserve"> Artikel </w:t>
      </w:r>
      <w:r w:rsidR="00F42F1D" w:rsidRPr="007848F8">
        <w:rPr>
          <w:i/>
        </w:rPr>
        <w:t>14 der Datenschutzverordnung vorgegeben. Sie betragen 5000.- Franken (ausser Kleinstgemeinden oder Gemeinden mit über 10'000 Einwohnern).</w:t>
      </w:r>
    </w:p>
    <w:sectPr w:rsidR="00682C7F" w:rsidRPr="007848F8" w:rsidSect="00BD67C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021" w:bottom="1701" w:left="15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66" w:rsidRDefault="00452766">
      <w:r>
        <w:separator/>
      </w:r>
    </w:p>
  </w:endnote>
  <w:endnote w:type="continuationSeparator" w:id="0">
    <w:p w:rsidR="00452766" w:rsidRDefault="0045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BF" w:rsidRDefault="00511B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BF" w:rsidRDefault="00511B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BF" w:rsidRDefault="00511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66" w:rsidRDefault="00452766">
      <w:r>
        <w:separator/>
      </w:r>
    </w:p>
  </w:footnote>
  <w:footnote w:type="continuationSeparator" w:id="0">
    <w:p w:rsidR="00452766" w:rsidRDefault="00452766">
      <w:r>
        <w:continuationSeparator/>
      </w:r>
    </w:p>
  </w:footnote>
  <w:footnote w:id="1">
    <w:p w:rsidR="008C04AE" w:rsidRPr="00F764A8" w:rsidRDefault="008C04AE" w:rsidP="00F764A8">
      <w:pPr>
        <w:pStyle w:val="Funotentext"/>
        <w:jc w:val="left"/>
      </w:pPr>
      <w:r>
        <w:rPr>
          <w:rStyle w:val="Funotenzeichen"/>
        </w:rPr>
        <w:footnoteRef/>
      </w:r>
      <w:r>
        <w:t xml:space="preserve"> Datenschutzgesetz vom 19. Februar 1986; KDSG; BSG 152.04; alle kantonalen Erlasse sind abrufbar unter </w:t>
      </w:r>
      <w:hyperlink r:id="rId1" w:history="1">
        <w:r w:rsidR="00A10B7F" w:rsidRPr="00F06562">
          <w:rPr>
            <w:rStyle w:val="Hyperlink"/>
          </w:rPr>
          <w:t>https://www.belex.sites.be.ch/</w:t>
        </w:r>
      </w:hyperlink>
      <w:r w:rsidR="00A10B7F">
        <w:t xml:space="preserve"> </w:t>
      </w:r>
    </w:p>
  </w:footnote>
  <w:footnote w:id="2">
    <w:p w:rsidR="008C04AE" w:rsidRDefault="008C04AE" w:rsidP="00047ECE">
      <w:pPr>
        <w:pStyle w:val="Funotentext"/>
        <w:jc w:val="left"/>
      </w:pPr>
      <w:r>
        <w:rPr>
          <w:rStyle w:val="Funotenzeichen"/>
        </w:rPr>
        <w:footnoteRef/>
      </w:r>
      <w:r>
        <w:t xml:space="preserve"> Datenschutzverordnung vom 22. Oktober 2008; DSV; BSG 152.040.1.</w:t>
      </w:r>
    </w:p>
  </w:footnote>
  <w:footnote w:id="3">
    <w:p w:rsidR="008C04AE" w:rsidRDefault="008C04AE">
      <w:pPr>
        <w:pStyle w:val="Funotentext"/>
      </w:pPr>
      <w:r>
        <w:rPr>
          <w:rStyle w:val="Funotenzeichen"/>
        </w:rPr>
        <w:footnoteRef/>
      </w:r>
      <w:r>
        <w:t xml:space="preserve"> Dekret vom 22. März 1994 über das Baubewilligungsverfahren; BewD; BSG 725.1.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BF" w:rsidRDefault="00511B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BF" w:rsidRDefault="00511BB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AE" w:rsidRPr="004C4A25" w:rsidRDefault="008C04AE" w:rsidP="004C4A25">
    <w:pPr>
      <w:pStyle w:val="Kopfzeile"/>
      <w:jc w:val="left"/>
      <w:rPr>
        <w:b/>
        <w:sz w:val="24"/>
        <w:szCs w:val="24"/>
      </w:rPr>
    </w:pPr>
    <w:r w:rsidRPr="004C4A25">
      <w:rPr>
        <w:b/>
        <w:sz w:val="24"/>
        <w:szCs w:val="24"/>
      </w:rPr>
      <w:t>Musterbeispiel begründete</w:t>
    </w:r>
    <w:r w:rsidR="009C15E6">
      <w:rPr>
        <w:b/>
        <w:sz w:val="24"/>
        <w:szCs w:val="24"/>
      </w:rPr>
      <w:t xml:space="preserve">r </w:t>
    </w:r>
    <w:r w:rsidRPr="004C4A25">
      <w:rPr>
        <w:b/>
        <w:sz w:val="24"/>
        <w:szCs w:val="24"/>
      </w:rPr>
      <w:t>Antrag nach Art. 35 Abs. 3 KDSG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A56946"/>
    <w:multiLevelType w:val="hybridMultilevel"/>
    <w:tmpl w:val="F2EA9FB8"/>
    <w:lvl w:ilvl="0" w:tplc="2FDC7BF0">
      <w:start w:val="1"/>
      <w:numFmt w:val="decimal"/>
      <w:lvlText w:val="%1."/>
      <w:lvlJc w:val="left"/>
      <w:pPr>
        <w:tabs>
          <w:tab w:val="num" w:pos="36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CD4537B"/>
    <w:multiLevelType w:val="hybridMultilevel"/>
    <w:tmpl w:val="947E0D50"/>
    <w:lvl w:ilvl="0" w:tplc="154A206C">
      <w:start w:val="1"/>
      <w:numFmt w:val="decimal"/>
      <w:pStyle w:val="berschrift1"/>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2046944"/>
    <w:multiLevelType w:val="multilevel"/>
    <w:tmpl w:val="56905CA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isLgl/>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716A2D"/>
    <w:multiLevelType w:val="hybridMultilevel"/>
    <w:tmpl w:val="1D66144A"/>
    <w:lvl w:ilvl="0" w:tplc="F7BEDECE">
      <w:start w:val="1"/>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1">
    <w:nsid w:val="32453094"/>
    <w:multiLevelType w:val="multilevel"/>
    <w:tmpl w:val="2286F600"/>
    <w:lvl w:ilvl="0">
      <w:start w:val="1"/>
      <w:numFmt w:val="none"/>
      <w:lvlText w:val="1.1.1"/>
      <w:lvlJc w:val="left"/>
      <w:pPr>
        <w:tabs>
          <w:tab w:val="num" w:pos="72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36AC260E"/>
    <w:multiLevelType w:val="multilevel"/>
    <w:tmpl w:val="7B62FDDC"/>
    <w:lvl w:ilvl="0">
      <w:start w:val="1"/>
      <w:numFmt w:val="decimal"/>
      <w:lvlText w:val="%1."/>
      <w:lvlJc w:val="left"/>
      <w:pPr>
        <w:tabs>
          <w:tab w:val="num" w:pos="720"/>
        </w:tabs>
        <w:ind w:left="170" w:hanging="170"/>
      </w:pPr>
      <w:rPr>
        <w:rFonts w:hint="default"/>
      </w:rPr>
    </w:lvl>
    <w:lvl w:ilvl="1">
      <w:start w:val="1"/>
      <w:numFmt w:val="decimal"/>
      <w:lvlText w:val="%2.%1"/>
      <w:lvlJc w:val="left"/>
      <w:pPr>
        <w:tabs>
          <w:tab w:val="num" w:pos="720"/>
        </w:tabs>
        <w:ind w:left="113" w:hanging="113"/>
      </w:pPr>
      <w:rPr>
        <w:rFonts w:hint="default"/>
      </w:rPr>
    </w:lvl>
    <w:lvl w:ilvl="2">
      <w:start w:val="1"/>
      <w:numFmt w:val="decimal"/>
      <w:suff w:val="space"/>
      <w:lvlText w:val="%2.%1.%3."/>
      <w:lvlJc w:val="left"/>
      <w:pPr>
        <w:ind w:left="284" w:hanging="28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1">
    <w:nsid w:val="4F6059CD"/>
    <w:multiLevelType w:val="multilevel"/>
    <w:tmpl w:val="3616356A"/>
    <w:lvl w:ilvl="0">
      <w:start w:val="1"/>
      <w:numFmt w:val="decimal"/>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720"/>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1">
    <w:nsid w:val="7C103784"/>
    <w:multiLevelType w:val="multilevel"/>
    <w:tmpl w:val="780A8FD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5"/>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7"/>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
  </w:num>
  <w:num w:numId="26">
    <w:abstractNumId w:val="1"/>
  </w:num>
  <w:num w:numId="27">
    <w:abstractNumId w:val="1"/>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de-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299"/>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20"/>
    <w:rsid w:val="0004361D"/>
    <w:rsid w:val="00047ECE"/>
    <w:rsid w:val="000A5B9E"/>
    <w:rsid w:val="000D1D5D"/>
    <w:rsid w:val="00160213"/>
    <w:rsid w:val="00164C6B"/>
    <w:rsid w:val="00180D16"/>
    <w:rsid w:val="0019589C"/>
    <w:rsid w:val="001E2092"/>
    <w:rsid w:val="00261687"/>
    <w:rsid w:val="00334255"/>
    <w:rsid w:val="00442752"/>
    <w:rsid w:val="00452766"/>
    <w:rsid w:val="004C4A25"/>
    <w:rsid w:val="00511BBF"/>
    <w:rsid w:val="0051792D"/>
    <w:rsid w:val="00585167"/>
    <w:rsid w:val="005A4620"/>
    <w:rsid w:val="00682C7F"/>
    <w:rsid w:val="00715F9E"/>
    <w:rsid w:val="007376E2"/>
    <w:rsid w:val="00774E8A"/>
    <w:rsid w:val="007848F8"/>
    <w:rsid w:val="007F1572"/>
    <w:rsid w:val="008A6BBE"/>
    <w:rsid w:val="008C04AE"/>
    <w:rsid w:val="0094162F"/>
    <w:rsid w:val="009A56FA"/>
    <w:rsid w:val="009C15E6"/>
    <w:rsid w:val="009D2098"/>
    <w:rsid w:val="00A02DFD"/>
    <w:rsid w:val="00A10B7F"/>
    <w:rsid w:val="00A1161D"/>
    <w:rsid w:val="00A30AD1"/>
    <w:rsid w:val="00B22D11"/>
    <w:rsid w:val="00BD67CA"/>
    <w:rsid w:val="00C967F5"/>
    <w:rsid w:val="00C97BCC"/>
    <w:rsid w:val="00CB358D"/>
    <w:rsid w:val="00CC2926"/>
    <w:rsid w:val="00CD3BA6"/>
    <w:rsid w:val="00CE6AA2"/>
    <w:rsid w:val="00CE7796"/>
    <w:rsid w:val="00D20FA2"/>
    <w:rsid w:val="00D51329"/>
    <w:rsid w:val="00D543C9"/>
    <w:rsid w:val="00D73D63"/>
    <w:rsid w:val="00DA2142"/>
    <w:rsid w:val="00DE479C"/>
    <w:rsid w:val="00DF6E1A"/>
    <w:rsid w:val="00E035DA"/>
    <w:rsid w:val="00E07B76"/>
    <w:rsid w:val="00E87A0F"/>
    <w:rsid w:val="00EB200B"/>
    <w:rsid w:val="00F04A22"/>
    <w:rsid w:val="00F177EB"/>
    <w:rsid w:val="00F42F1D"/>
    <w:rsid w:val="00F52533"/>
    <w:rsid w:val="00F54691"/>
    <w:rsid w:val="00F764A8"/>
    <w:rsid w:val="00F82B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97E89E9-8C9F-48C1-99F9-740A18A8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s>
      <w:overflowPunct w:val="0"/>
      <w:autoSpaceDE w:val="0"/>
      <w:autoSpaceDN w:val="0"/>
      <w:adjustRightInd w:val="0"/>
      <w:spacing w:line="264" w:lineRule="auto"/>
      <w:jc w:val="both"/>
      <w:textAlignment w:val="baseline"/>
    </w:pPr>
    <w:rPr>
      <w:rFonts w:ascii="Arial" w:hAnsi="Arial"/>
      <w:sz w:val="22"/>
      <w:lang w:eastAsia="de-DE"/>
    </w:rPr>
  </w:style>
  <w:style w:type="paragraph" w:styleId="berschrift1">
    <w:name w:val="heading 1"/>
    <w:basedOn w:val="Standard"/>
    <w:next w:val="Standard"/>
    <w:autoRedefine/>
    <w:qFormat/>
    <w:pPr>
      <w:numPr>
        <w:numId w:val="28"/>
      </w:numPr>
      <w:spacing w:before="360" w:after="120"/>
      <w:outlineLvl w:val="0"/>
    </w:pPr>
    <w:rPr>
      <w:b/>
    </w:rPr>
  </w:style>
  <w:style w:type="paragraph" w:styleId="berschrift2">
    <w:name w:val="heading 2"/>
    <w:basedOn w:val="Standard"/>
    <w:next w:val="Standard"/>
    <w:autoRedefine/>
    <w:qFormat/>
    <w:pPr>
      <w:framePr w:hSpace="181" w:vSpace="181" w:wrap="around" w:vAnchor="text" w:hAnchor="text" w:y="1"/>
      <w:numPr>
        <w:ilvl w:val="1"/>
        <w:numId w:val="24"/>
      </w:numPr>
      <w:spacing w:before="120" w:after="120"/>
      <w:outlineLvl w:val="1"/>
    </w:pPr>
    <w:rPr>
      <w:b/>
      <w:sz w:val="24"/>
    </w:rPr>
  </w:style>
  <w:style w:type="paragraph" w:styleId="berschrift3">
    <w:name w:val="heading 3"/>
    <w:basedOn w:val="Standard"/>
    <w:next w:val="Standardeinzug"/>
    <w:autoRedefine/>
    <w:qFormat/>
    <w:pPr>
      <w:numPr>
        <w:ilvl w:val="2"/>
        <w:numId w:val="24"/>
      </w:numPr>
      <w:tabs>
        <w:tab w:val="clear" w:pos="5387"/>
      </w:tabs>
      <w:outlineLvl w:val="2"/>
    </w:pPr>
    <w:rPr>
      <w:b/>
    </w:rPr>
  </w:style>
  <w:style w:type="paragraph" w:styleId="berschrift4">
    <w:name w:val="heading 4"/>
    <w:basedOn w:val="Standard"/>
    <w:next w:val="Standardeinzug"/>
    <w:autoRedefine/>
    <w:qFormat/>
    <w:pPr>
      <w:numPr>
        <w:ilvl w:val="3"/>
        <w:numId w:val="24"/>
      </w:numPr>
      <w:outlineLvl w:val="3"/>
    </w:pPr>
    <w:rPr>
      <w:b/>
      <w:i/>
      <w:sz w:val="24"/>
    </w:rPr>
  </w:style>
  <w:style w:type="paragraph" w:styleId="berschrift5">
    <w:name w:val="heading 5"/>
    <w:basedOn w:val="Standard"/>
    <w:next w:val="Standardeinzug"/>
    <w:qFormat/>
    <w:pPr>
      <w:numPr>
        <w:ilvl w:val="4"/>
        <w:numId w:val="24"/>
      </w:numPr>
      <w:outlineLvl w:val="4"/>
    </w:pPr>
  </w:style>
  <w:style w:type="paragraph" w:styleId="berschrift6">
    <w:name w:val="heading 6"/>
    <w:basedOn w:val="Standard"/>
    <w:next w:val="Standardeinzug"/>
    <w:qFormat/>
    <w:pPr>
      <w:numPr>
        <w:ilvl w:val="5"/>
        <w:numId w:val="24"/>
      </w:numPr>
      <w:outlineLvl w:val="5"/>
    </w:pPr>
  </w:style>
  <w:style w:type="paragraph" w:styleId="berschrift7">
    <w:name w:val="heading 7"/>
    <w:basedOn w:val="Standard"/>
    <w:next w:val="Standardeinzug"/>
    <w:qFormat/>
    <w:pPr>
      <w:numPr>
        <w:ilvl w:val="6"/>
        <w:numId w:val="24"/>
      </w:numPr>
      <w:outlineLvl w:val="6"/>
    </w:pPr>
  </w:style>
  <w:style w:type="paragraph" w:styleId="berschrift8">
    <w:name w:val="heading 8"/>
    <w:basedOn w:val="Standard"/>
    <w:next w:val="Standardeinzug"/>
    <w:qFormat/>
    <w:pPr>
      <w:numPr>
        <w:ilvl w:val="7"/>
        <w:numId w:val="24"/>
      </w:numPr>
      <w:outlineLvl w:val="7"/>
    </w:pPr>
  </w:style>
  <w:style w:type="paragraph" w:styleId="berschrift9">
    <w:name w:val="heading 9"/>
    <w:basedOn w:val="Standard"/>
    <w:next w:val="Standardeinzug"/>
    <w:qFormat/>
    <w:pPr>
      <w:numPr>
        <w:ilvl w:val="8"/>
        <w:numId w:val="24"/>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lear" w:pos="5387"/>
        <w:tab w:val="center" w:pos="4819"/>
        <w:tab w:val="right" w:pos="9071"/>
      </w:tabs>
    </w:pPr>
  </w:style>
  <w:style w:type="paragraph" w:styleId="Kopfzeile">
    <w:name w:val="header"/>
    <w:basedOn w:val="Standard"/>
    <w:pPr>
      <w:tabs>
        <w:tab w:val="clear" w:pos="5387"/>
        <w:tab w:val="center" w:pos="4252"/>
        <w:tab w:val="right" w:pos="9498"/>
      </w:tabs>
      <w:spacing w:after="720"/>
      <w:jc w:val="right"/>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Anrede">
    <w:name w:val="Salutation"/>
    <w:basedOn w:val="Standard"/>
    <w:pPr>
      <w:spacing w:after="480"/>
    </w:pPr>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Standard"/>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style>
  <w:style w:type="paragraph" w:customStyle="1" w:styleId="Adresse">
    <w:name w:val="Adresse"/>
    <w:basedOn w:val="Standard"/>
    <w:next w:val="Adr1"/>
  </w:style>
  <w:style w:type="paragraph" w:customStyle="1" w:styleId="Wappen">
    <w:name w:val="Wappen"/>
    <w:basedOn w:val="Standard"/>
    <w:pPr>
      <w:framePr w:w="907" w:h="1418" w:hRule="exact" w:wrap="around" w:vAnchor="page" w:hAnchor="page" w:x="340" w:y="7202"/>
    </w:pPr>
    <w:rPr>
      <w:rFonts w:ascii="Jarial" w:hAnsi="Jarial"/>
      <w:sz w:val="130"/>
    </w:r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pPr>
  </w:style>
  <w:style w:type="paragraph" w:customStyle="1" w:styleId="Briefschluss">
    <w:name w:val="Briefschluss"/>
    <w:basedOn w:val="Standard"/>
    <w:pPr>
      <w:spacing w:before="240" w:after="240"/>
    </w:pPr>
  </w:style>
  <w:style w:type="paragraph" w:customStyle="1" w:styleId="Dokumentschluss">
    <w:name w:val="Dokumentschluss"/>
    <w:basedOn w:val="Briefschluss"/>
    <w:pPr>
      <w:framePr w:hSpace="142" w:wrap="around" w:hAnchor="text" w:yAlign="bottom"/>
      <w:spacing w:after="480"/>
    </w:pPr>
  </w:style>
  <w:style w:type="paragraph" w:customStyle="1" w:styleId="MitfreundlichenGrssen">
    <w:name w:val="Mit freundlichen Grüssen"/>
    <w:basedOn w:val="Standard"/>
    <w:pPr>
      <w:spacing w:after="240"/>
      <w:ind w:left="5387"/>
    </w:pPr>
  </w:style>
  <w:style w:type="paragraph" w:customStyle="1" w:styleId="Beilagen">
    <w:name w:val="Beilagen"/>
    <w:basedOn w:val="Standard"/>
    <w:pPr>
      <w:spacing w:before="240"/>
    </w:pPr>
  </w:style>
  <w:style w:type="paragraph" w:customStyle="1" w:styleId="UnserZeichen">
    <w:name w:val="Unser Zeichen"/>
    <w:basedOn w:val="Standard"/>
    <w:next w:val="Standard"/>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Standard"/>
    <w:next w:val="Standard"/>
    <w:pPr>
      <w:spacing w:after="720"/>
    </w:pPr>
  </w:style>
  <w:style w:type="paragraph" w:customStyle="1" w:styleId="Amtsadresse">
    <w:name w:val="Amtsadresse"/>
    <w:basedOn w:val="Standard"/>
    <w:rPr>
      <w:sz w:val="18"/>
    </w:rPr>
  </w:style>
  <w:style w:type="paragraph" w:customStyle="1" w:styleId="Abstand4Zeilen">
    <w:name w:val="Abstand4Zeilen"/>
    <w:basedOn w:val="Standard"/>
    <w:next w:val="Standard"/>
    <w:pPr>
      <w:spacing w:after="960"/>
    </w:pPr>
  </w:style>
  <w:style w:type="paragraph" w:customStyle="1" w:styleId="Einzug2Zeilen">
    <w:name w:val="Einzug2Zeilen"/>
    <w:basedOn w:val="Abstand2Zeilen"/>
    <w:pPr>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ind w:left="2268" w:hanging="2268"/>
    </w:p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tabs>
        <w:tab w:val="clear" w:pos="5387"/>
      </w:tabs>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EinzugEinsArial11">
    <w:name w:val="EinzugEinsArial11"/>
    <w:basedOn w:val="Standard"/>
    <w:pPr>
      <w:tabs>
        <w:tab w:val="left" w:pos="284"/>
      </w:tabs>
      <w:spacing w:line="360" w:lineRule="auto"/>
      <w:ind w:left="284" w:hanging="284"/>
    </w:pPr>
  </w:style>
  <w:style w:type="paragraph" w:customStyle="1" w:styleId="EinzugZweiArial11">
    <w:name w:val="EinzugZweiArial11"/>
    <w:basedOn w:val="Standard"/>
    <w:pPr>
      <w:tabs>
        <w:tab w:val="left" w:pos="284"/>
        <w:tab w:val="left" w:pos="567"/>
      </w:tabs>
      <w:spacing w:line="360" w:lineRule="auto"/>
      <w:ind w:left="567" w:hanging="567"/>
    </w:pPr>
  </w:style>
  <w:style w:type="table" w:styleId="Tabellenraster">
    <w:name w:val="Table Grid"/>
    <w:basedOn w:val="NormaleTabelle"/>
    <w:rsid w:val="00160213"/>
    <w:pPr>
      <w:tabs>
        <w:tab w:val="left" w:pos="5387"/>
      </w:tabs>
      <w:overflowPunct w:val="0"/>
      <w:autoSpaceDE w:val="0"/>
      <w:autoSpaceDN w:val="0"/>
      <w:adjustRightInd w:val="0"/>
      <w:ind w:left="57" w:right="57"/>
      <w:jc w:val="both"/>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6ptZeilenabstandGenau16pt">
    <w:name w:val="Formatvorlage Vor:  6 pt Zeilenabstand:  Genau 16 pt"/>
    <w:basedOn w:val="Standard"/>
    <w:rsid w:val="00E035DA"/>
    <w:pPr>
      <w:spacing w:before="120" w:line="320" w:lineRule="exact"/>
      <w:jc w:val="left"/>
    </w:pPr>
  </w:style>
  <w:style w:type="character" w:styleId="Hyperlink">
    <w:name w:val="Hyperlink"/>
    <w:rsid w:val="00F42F1D"/>
    <w:rPr>
      <w:color w:val="0000FF"/>
      <w:u w:val="single"/>
    </w:rPr>
  </w:style>
  <w:style w:type="character" w:styleId="Kommentarzeichen">
    <w:name w:val="annotation reference"/>
    <w:semiHidden/>
    <w:rsid w:val="00F764A8"/>
    <w:rPr>
      <w:sz w:val="16"/>
      <w:szCs w:val="16"/>
    </w:rPr>
  </w:style>
  <w:style w:type="paragraph" w:styleId="Kommentartext">
    <w:name w:val="annotation text"/>
    <w:basedOn w:val="Standard"/>
    <w:semiHidden/>
    <w:rsid w:val="00F764A8"/>
    <w:rPr>
      <w:sz w:val="20"/>
    </w:rPr>
  </w:style>
  <w:style w:type="paragraph" w:styleId="Kommentarthema">
    <w:name w:val="annotation subject"/>
    <w:basedOn w:val="Kommentartext"/>
    <w:next w:val="Kommentartext"/>
    <w:semiHidden/>
    <w:rsid w:val="00F764A8"/>
    <w:rPr>
      <w:b/>
      <w:bCs/>
    </w:rPr>
  </w:style>
  <w:style w:type="paragraph" w:styleId="Sprechblasentext">
    <w:name w:val="Balloon Text"/>
    <w:basedOn w:val="Standard"/>
    <w:semiHidden/>
    <w:rsid w:val="00F764A8"/>
    <w:rPr>
      <w:rFonts w:ascii="Tahoma" w:hAnsi="Tahoma" w:cs="Tahoma"/>
      <w:sz w:val="16"/>
      <w:szCs w:val="16"/>
    </w:rPr>
  </w:style>
  <w:style w:type="character" w:customStyle="1" w:styleId="BesuchterHyperlink">
    <w:name w:val="BesuchterHyperlink"/>
    <w:rsid w:val="00F177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gk.be.ch/jgk/de/index/gemeinden/gemeinden/gemeinderecht/datenschutz/dokument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elex.sites.b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5745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dsa-musterbeispiel-begruendeter-antrag-de</vt:lpstr>
    </vt:vector>
  </TitlesOfParts>
  <Company>Kanton Bern</Company>
  <LinksUpToDate>false</LinksUpToDate>
  <CharactersWithSpaces>6527</CharactersWithSpaces>
  <SharedDoc>false</SharedDoc>
  <HLinks>
    <vt:vector size="12" baseType="variant">
      <vt:variant>
        <vt:i4>3145844</vt:i4>
      </vt:variant>
      <vt:variant>
        <vt:i4>0</vt:i4>
      </vt:variant>
      <vt:variant>
        <vt:i4>0</vt:i4>
      </vt:variant>
      <vt:variant>
        <vt:i4>5</vt:i4>
      </vt:variant>
      <vt:variant>
        <vt:lpwstr>http://www.jgk.be.ch/jgk/de/index/gemeinden/gemeinden/gemeinderecht/datenschutz/dokumente.html</vt:lpwstr>
      </vt:variant>
      <vt:variant>
        <vt:lpwstr/>
      </vt:variant>
      <vt:variant>
        <vt:i4>7143526</vt:i4>
      </vt:variant>
      <vt:variant>
        <vt:i4>0</vt:i4>
      </vt:variant>
      <vt:variant>
        <vt:i4>0</vt:i4>
      </vt:variant>
      <vt:variant>
        <vt:i4>5</vt:i4>
      </vt:variant>
      <vt:variant>
        <vt:lpwstr>https://www.belex.sites.be.ch/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musterbeispiel-begruendeter-antrag-de</dc:title>
  <dc:subject>Musterbeispiel begründete Empfehlung</dc:subject>
  <dc:creator>DSA</dc:creator>
  <cp:keywords>musterbeispiel-begruendeter-antrag-de</cp:keywords>
  <dc:description>musterbeispiel-begruendeter-antrag-de</dc:description>
  <cp:lastModifiedBy>Bennet Anders, DIJ-DSA</cp:lastModifiedBy>
  <cp:revision>4</cp:revision>
  <cp:lastPrinted>1993-11-22T15:20:00Z</cp:lastPrinted>
  <dcterms:created xsi:type="dcterms:W3CDTF">2021-08-11T12:51:00Z</dcterms:created>
  <dcterms:modified xsi:type="dcterms:W3CDTF">2021-10-28T13:46:00Z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REF">
    <vt:lpwstr>109314074122223</vt:lpwstr>
  </property>
  <property fmtid="{D5CDD505-2E9C-101B-9397-08002B2CF9AE}" pid="3" name="P_REF">
    <vt:lpwstr>0</vt:lpwstr>
  </property>
  <property fmtid="{D5CDD505-2E9C-101B-9397-08002B2CF9AE}" pid="4" name="G_YAG">
    <vt:lpwstr>09.1020</vt:lpwstr>
  </property>
  <property fmtid="{D5CDD505-2E9C-101B-9397-08002B2CF9AE}" pid="5" name="G_OTC">
    <vt:lpwstr/>
  </property>
  <property fmtid="{D5CDD505-2E9C-101B-9397-08002B2CF9AE}" pid="6" name="G_OTT">
    <vt:lpwstr/>
  </property>
</Properties>
</file>