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03" w:rsidRDefault="00940103">
      <w:pPr>
        <w:pStyle w:val="Titel1"/>
        <w:spacing w:before="120" w:after="120"/>
        <w:rPr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>ISDS-Konzept</w:t>
      </w:r>
    </w:p>
    <w:p w:rsidR="00940103" w:rsidRDefault="005F4EEF">
      <w:pPr>
        <w:pStyle w:val="Titel3"/>
        <w:spacing w:before="240"/>
        <w:ind w:left="0" w:firstLine="0"/>
      </w:pPr>
      <w:r>
        <w:t>Kopf</w:t>
      </w:r>
      <w:r w:rsidR="00940103">
        <w:t xml:space="preserve"> </w:t>
      </w:r>
      <w:r w:rsidR="00940103">
        <w:rPr>
          <w:b w:val="0"/>
          <w:i w:val="0"/>
          <w:color w:val="auto"/>
          <w:sz w:val="20"/>
          <w:szCs w:val="20"/>
        </w:rPr>
        <w:t>_______________________________________________________________________</w:t>
      </w:r>
    </w:p>
    <w:p w:rsidR="00940103" w:rsidRDefault="00940103">
      <w:pPr>
        <w:pStyle w:val="AufzhlungPunkt"/>
        <w:numPr>
          <w:ilvl w:val="0"/>
          <w:numId w:val="4"/>
        </w:numPr>
        <w:tabs>
          <w:tab w:val="clear" w:pos="720"/>
          <w:tab w:val="clear" w:pos="1134"/>
          <w:tab w:val="num" w:pos="360"/>
        </w:tabs>
        <w:spacing w:before="60"/>
        <w:ind w:left="360"/>
      </w:pPr>
      <w:r>
        <w:t>Bezeichnung des Informatikprojekts</w:t>
      </w:r>
    </w:p>
    <w:p w:rsidR="00940103" w:rsidRDefault="00940103">
      <w:pPr>
        <w:pStyle w:val="AufzhlungPunkt"/>
        <w:numPr>
          <w:ilvl w:val="0"/>
          <w:numId w:val="4"/>
        </w:numPr>
        <w:tabs>
          <w:tab w:val="clear" w:pos="720"/>
          <w:tab w:val="clear" w:pos="1134"/>
          <w:tab w:val="num" w:pos="360"/>
        </w:tabs>
        <w:spacing w:before="60"/>
        <w:ind w:left="360"/>
      </w:pPr>
      <w:r>
        <w:t xml:space="preserve">Zuständige </w:t>
      </w:r>
      <w:r w:rsidR="005F4EEF">
        <w:t>Stelle der Gemeinde</w:t>
      </w:r>
    </w:p>
    <w:p w:rsidR="00940103" w:rsidRDefault="00940103">
      <w:pPr>
        <w:pStyle w:val="AufzhlungPunkt"/>
        <w:numPr>
          <w:ilvl w:val="0"/>
          <w:numId w:val="4"/>
        </w:numPr>
        <w:tabs>
          <w:tab w:val="clear" w:pos="720"/>
          <w:tab w:val="clear" w:pos="1134"/>
          <w:tab w:val="num" w:pos="360"/>
        </w:tabs>
        <w:spacing w:before="60"/>
        <w:ind w:left="360"/>
      </w:pPr>
      <w:r>
        <w:t>Projektverantwortlicher, inkl. Kontaktinformationen</w:t>
      </w:r>
    </w:p>
    <w:p w:rsidR="00940103" w:rsidRDefault="00940103">
      <w:pPr>
        <w:pStyle w:val="AufzhlungPunkt"/>
        <w:numPr>
          <w:ilvl w:val="0"/>
          <w:numId w:val="4"/>
        </w:numPr>
        <w:tabs>
          <w:tab w:val="clear" w:pos="720"/>
          <w:tab w:val="clear" w:pos="1134"/>
          <w:tab w:val="num" w:pos="360"/>
        </w:tabs>
        <w:spacing w:before="60"/>
        <w:ind w:left="360"/>
      </w:pPr>
      <w:r>
        <w:t>Version/Datum (Versionenkontrolle)</w:t>
      </w:r>
    </w:p>
    <w:p w:rsidR="00940103" w:rsidRDefault="00940103">
      <w:pPr>
        <w:pStyle w:val="AufzhlungPunkt"/>
        <w:numPr>
          <w:ilvl w:val="0"/>
          <w:numId w:val="4"/>
        </w:numPr>
        <w:tabs>
          <w:tab w:val="clear" w:pos="720"/>
          <w:tab w:val="clear" w:pos="1134"/>
          <w:tab w:val="num" w:pos="360"/>
        </w:tabs>
        <w:spacing w:before="60"/>
        <w:ind w:left="360"/>
      </w:pPr>
      <w:r>
        <w:t>Visum des Projektauftraggebers</w:t>
      </w:r>
    </w:p>
    <w:p w:rsidR="00940103" w:rsidRDefault="00940103">
      <w:pPr>
        <w:pBdr>
          <w:bottom w:val="single" w:sz="4" w:space="1" w:color="auto"/>
        </w:pBdr>
      </w:pPr>
    </w:p>
    <w:p w:rsidR="00940103" w:rsidRDefault="00940103">
      <w:pPr>
        <w:pStyle w:val="Titel3"/>
        <w:spacing w:before="240"/>
      </w:pPr>
      <w:r>
        <w:t>1. Angaben zum Projekt</w:t>
      </w:r>
    </w:p>
    <w:p w:rsidR="00403331" w:rsidRDefault="00403331" w:rsidP="00403331">
      <w:r>
        <w:tab/>
        <w:t>(es kann auch auf bereits bestehende Projektdokumente verwiesen werden)</w:t>
      </w:r>
    </w:p>
    <w:p w:rsidR="00940103" w:rsidRDefault="00940103">
      <w:pPr>
        <w:pStyle w:val="AufzhlungPunkt"/>
        <w:tabs>
          <w:tab w:val="clear" w:pos="1134"/>
          <w:tab w:val="left" w:pos="567"/>
        </w:tabs>
        <w:ind w:left="567" w:hanging="283"/>
      </w:pPr>
      <w:r>
        <w:t>Detaillierte Beschreibung des Prozesses oder der Prozesse, die mit der geplanten Informatiklösung unterstützt werden sollen.</w:t>
      </w:r>
    </w:p>
    <w:p w:rsidR="00940103" w:rsidRDefault="00940103">
      <w:pPr>
        <w:pStyle w:val="AufzhlungPunkt"/>
        <w:tabs>
          <w:tab w:val="clear" w:pos="1134"/>
          <w:tab w:val="left" w:pos="567"/>
        </w:tabs>
        <w:ind w:left="567" w:hanging="283"/>
      </w:pPr>
      <w:r>
        <w:t>Beschreibung der Input- und Output-Schnittstellen, insbesondere der Online-Zugriffe für Dritte (Abrufverfahren).</w:t>
      </w:r>
    </w:p>
    <w:p w:rsidR="00940103" w:rsidRDefault="00940103">
      <w:pPr>
        <w:pStyle w:val="AufzhlungPunkt"/>
        <w:tabs>
          <w:tab w:val="clear" w:pos="1134"/>
          <w:tab w:val="left" w:pos="567"/>
        </w:tabs>
        <w:ind w:left="567" w:hanging="283"/>
      </w:pPr>
      <w:r>
        <w:t>Beschreibung der zur Wahl stehenden IT-Lösung(en).</w:t>
      </w:r>
    </w:p>
    <w:p w:rsidR="00940103" w:rsidRDefault="00940103">
      <w:pPr>
        <w:pStyle w:val="Titel3"/>
        <w:spacing w:before="240"/>
      </w:pPr>
      <w:r>
        <w:t>2. Datenschutz</w:t>
      </w:r>
    </w:p>
    <w:p w:rsidR="00940103" w:rsidRDefault="00940103">
      <w:pPr>
        <w:pStyle w:val="AufzhlungPunkt"/>
        <w:tabs>
          <w:tab w:val="clear" w:pos="1134"/>
          <w:tab w:val="left" w:pos="567"/>
        </w:tabs>
        <w:ind w:left="567" w:hanging="283"/>
      </w:pPr>
      <w:r>
        <w:t>Benennung der für den Prozess bzw. die Prozesse massgeblichen Rechtsgrundlagen, insbesondere auch der Rechtsgrundlagen für Online-Zugriffe von Dritten (Abrufverfahren)</w:t>
      </w:r>
      <w:r w:rsidR="005F4EEF">
        <w:t>, vgl. Checkliste Datenschutzbeurteilung</w:t>
      </w:r>
      <w:r>
        <w:t>.</w:t>
      </w:r>
    </w:p>
    <w:p w:rsidR="00940103" w:rsidRDefault="00940103">
      <w:pPr>
        <w:pStyle w:val="AufzhlungPunkt"/>
        <w:tabs>
          <w:tab w:val="clear" w:pos="1134"/>
          <w:tab w:val="left" w:pos="567"/>
        </w:tabs>
        <w:ind w:left="567" w:hanging="283"/>
      </w:pPr>
      <w:r>
        <w:t>Gegebenenfalls Ausführungen zu den Möglichkeiten, noch fehlende oder ungenügende Rechtsgrundlagen bis zur Inbetriebnahme des Systems schaffen zu können.</w:t>
      </w:r>
    </w:p>
    <w:p w:rsidR="00940103" w:rsidRDefault="00940103">
      <w:pPr>
        <w:pStyle w:val="AufzhlungPunkt"/>
        <w:tabs>
          <w:tab w:val="clear" w:pos="1134"/>
          <w:tab w:val="left" w:pos="567"/>
        </w:tabs>
        <w:ind w:left="567" w:hanging="283"/>
      </w:pPr>
      <w:r>
        <w:t>Datenarchivierung und -vernichtung.</w:t>
      </w:r>
    </w:p>
    <w:p w:rsidR="00940103" w:rsidRDefault="00940103">
      <w:pPr>
        <w:pStyle w:val="AufzhlungPunkt"/>
        <w:tabs>
          <w:tab w:val="clear" w:pos="1134"/>
          <w:tab w:val="left" w:pos="567"/>
        </w:tabs>
        <w:ind w:left="567" w:hanging="283"/>
      </w:pPr>
      <w:r>
        <w:t>Beschreibung der Verfahren zur Gewährleistung der Datenschutzrechte der betroffenen Personen (Auskunft/Einsicht, Berichtigung und Sperrung).</w:t>
      </w:r>
    </w:p>
    <w:p w:rsidR="0016511E" w:rsidRDefault="0016511E" w:rsidP="0016511E">
      <w:pPr>
        <w:pStyle w:val="AufzhlungPunkt"/>
        <w:tabs>
          <w:tab w:val="clear" w:pos="1134"/>
          <w:tab w:val="left" w:pos="567"/>
        </w:tabs>
        <w:ind w:left="567" w:hanging="283"/>
      </w:pPr>
      <w:r>
        <w:t>Benutzerberechtigungskonzept</w:t>
      </w:r>
      <w:r w:rsidR="005F4EEF">
        <w:t xml:space="preserve"> </w:t>
      </w:r>
    </w:p>
    <w:p w:rsidR="00940103" w:rsidRDefault="00940103">
      <w:pPr>
        <w:pStyle w:val="AufzhlungPunkt"/>
        <w:tabs>
          <w:tab w:val="clear" w:pos="1134"/>
          <w:tab w:val="left" w:pos="567"/>
        </w:tabs>
        <w:ind w:left="567" w:hanging="283"/>
      </w:pPr>
      <w:r>
        <w:t>Anmeldung der Datensammlung(en) bei der Datenschutzaufsichtsstelle (als Anlage).</w:t>
      </w:r>
    </w:p>
    <w:p w:rsidR="00940103" w:rsidRPr="00133368" w:rsidRDefault="00940103">
      <w:pPr>
        <w:pStyle w:val="Titel3"/>
        <w:spacing w:before="240"/>
      </w:pPr>
      <w:r w:rsidRPr="00133368">
        <w:t>3. Informationssicherheit</w:t>
      </w:r>
    </w:p>
    <w:p w:rsidR="00841CEF" w:rsidRPr="00133368" w:rsidRDefault="00841CEF" w:rsidP="00712CA4">
      <w:pPr>
        <w:pStyle w:val="AufzhlungPunkt"/>
        <w:numPr>
          <w:ilvl w:val="0"/>
          <w:numId w:val="0"/>
        </w:numPr>
        <w:tabs>
          <w:tab w:val="clear" w:pos="1134"/>
          <w:tab w:val="left" w:pos="567"/>
        </w:tabs>
        <w:ind w:left="284"/>
      </w:pPr>
      <w:r w:rsidRPr="00133368">
        <w:t>Grundschutz</w:t>
      </w:r>
    </w:p>
    <w:p w:rsidR="00841CEF" w:rsidRDefault="005F4EEF" w:rsidP="00712CA4">
      <w:pPr>
        <w:pStyle w:val="AufzhlungPunkt"/>
        <w:numPr>
          <w:ilvl w:val="0"/>
          <w:numId w:val="0"/>
        </w:numPr>
        <w:tabs>
          <w:tab w:val="clear" w:pos="1134"/>
          <w:tab w:val="left" w:pos="567"/>
        </w:tabs>
        <w:ind w:left="284"/>
      </w:pPr>
      <w:r w:rsidRPr="00133368">
        <w:t>Anhand der Checkliste Grundschutz</w:t>
      </w:r>
      <w:r w:rsidR="00D90012" w:rsidRPr="00133368">
        <w:rPr>
          <w:rStyle w:val="Funotenzeichen"/>
        </w:rPr>
        <w:footnoteReference w:id="1"/>
      </w:r>
      <w:r w:rsidRPr="00133368">
        <w:t xml:space="preserve"> </w:t>
      </w:r>
      <w:r w:rsidR="007205A3" w:rsidRPr="00133368">
        <w:t xml:space="preserve">ist </w:t>
      </w:r>
      <w:r w:rsidRPr="00133368">
        <w:t>dar</w:t>
      </w:r>
      <w:r w:rsidR="007205A3" w:rsidRPr="00133368">
        <w:t>zu</w:t>
      </w:r>
      <w:r w:rsidR="00A75E23" w:rsidRPr="00133368">
        <w:t xml:space="preserve">legen, </w:t>
      </w:r>
      <w:r w:rsidR="00841CEF" w:rsidRPr="00133368">
        <w:t xml:space="preserve">welche </w:t>
      </w:r>
      <w:r w:rsidRPr="00133368">
        <w:t>Grund</w:t>
      </w:r>
      <w:r w:rsidR="007205A3" w:rsidRPr="00133368">
        <w:t>risiken</w:t>
      </w:r>
      <w:r w:rsidRPr="00133368">
        <w:t xml:space="preserve"> </w:t>
      </w:r>
      <w:r w:rsidR="00841CEF" w:rsidRPr="00133368">
        <w:t xml:space="preserve">der Infrastruktur und der Daten- und Benutzerverwaltung </w:t>
      </w:r>
      <w:r w:rsidR="007205A3" w:rsidRPr="00133368">
        <w:t>bestehen</w:t>
      </w:r>
      <w:r w:rsidR="00841CEF" w:rsidRPr="00133368">
        <w:t xml:space="preserve"> und welche Massnahmen getroffen worden sind, um den Grundschutz zu gewährleisten.</w:t>
      </w:r>
    </w:p>
    <w:p w:rsidR="002D38B9" w:rsidRPr="002D38B9" w:rsidRDefault="002D38B9" w:rsidP="002D38B9"/>
    <w:p w:rsidR="00841CEF" w:rsidRPr="00133368" w:rsidRDefault="00841CEF" w:rsidP="00712CA4">
      <w:pPr>
        <w:pStyle w:val="AufzhlungPunkt"/>
        <w:numPr>
          <w:ilvl w:val="0"/>
          <w:numId w:val="0"/>
        </w:numPr>
        <w:tabs>
          <w:tab w:val="clear" w:pos="1134"/>
          <w:tab w:val="left" w:pos="567"/>
        </w:tabs>
        <w:ind w:left="284"/>
      </w:pPr>
      <w:r w:rsidRPr="00133368">
        <w:t>Erhöhter Schutzbedarf / Applikationsschutz</w:t>
      </w:r>
    </w:p>
    <w:p w:rsidR="00E96933" w:rsidRDefault="007205A3" w:rsidP="00712CA4">
      <w:pPr>
        <w:pStyle w:val="AufzhlungPunkt"/>
        <w:numPr>
          <w:ilvl w:val="0"/>
          <w:numId w:val="0"/>
        </w:numPr>
        <w:tabs>
          <w:tab w:val="clear" w:pos="1134"/>
          <w:tab w:val="left" w:pos="567"/>
        </w:tabs>
        <w:ind w:left="284"/>
        <w:rPr>
          <w:highlight w:val="yellow"/>
        </w:rPr>
      </w:pPr>
      <w:r w:rsidRPr="00133368">
        <w:t xml:space="preserve">Es sind </w:t>
      </w:r>
      <w:r w:rsidR="00A75E23" w:rsidRPr="00133368">
        <w:t xml:space="preserve">sodann </w:t>
      </w:r>
      <w:r w:rsidR="005F4EEF" w:rsidRPr="00133368">
        <w:t xml:space="preserve">Aussagen darüber </w:t>
      </w:r>
      <w:r w:rsidRPr="00133368">
        <w:t xml:space="preserve">zu </w:t>
      </w:r>
      <w:r w:rsidR="005F4EEF" w:rsidRPr="00133368">
        <w:t xml:space="preserve">machen, ob ein erhöhter </w:t>
      </w:r>
      <w:r w:rsidR="00A75E23" w:rsidRPr="00133368">
        <w:t>Schutzbedarf</w:t>
      </w:r>
      <w:r w:rsidR="00E96933" w:rsidRPr="00133368">
        <w:t>,</w:t>
      </w:r>
      <w:r w:rsidR="00A75E23" w:rsidRPr="00133368">
        <w:t xml:space="preserve"> </w:t>
      </w:r>
      <w:r w:rsidR="00E96933" w:rsidRPr="00133368">
        <w:t xml:space="preserve">über den Grundschutz hinaus, </w:t>
      </w:r>
      <w:r w:rsidR="00A75E23" w:rsidRPr="00133368">
        <w:t>besteht und welche</w:t>
      </w:r>
      <w:r w:rsidR="005F4EEF" w:rsidRPr="00133368">
        <w:t xml:space="preserve"> Massnahmen hierzu getroffen werden. Anhaltspunkte ergeben sich aus </w:t>
      </w:r>
      <w:r w:rsidR="00E96933" w:rsidRPr="00133368">
        <w:t>der Risikobeurteilung:</w:t>
      </w:r>
    </w:p>
    <w:p w:rsidR="00E96933" w:rsidRDefault="00E96933" w:rsidP="00E96933">
      <w:pPr>
        <w:ind w:firstLine="284"/>
      </w:pPr>
      <w:r>
        <w:lastRenderedPageBreak/>
        <w:t>Die Risikobeurteilung für eine Applikation beinhaltet:</w:t>
      </w:r>
    </w:p>
    <w:p w:rsidR="00E96933" w:rsidRDefault="00E96933" w:rsidP="00E96933">
      <w:pPr>
        <w:numPr>
          <w:ilvl w:val="1"/>
          <w:numId w:val="6"/>
        </w:numPr>
        <w:spacing w:line="360" w:lineRule="auto"/>
      </w:pPr>
      <w:r>
        <w:t xml:space="preserve">Eine </w:t>
      </w:r>
      <w:r w:rsidRPr="00151BA6">
        <w:rPr>
          <w:i/>
        </w:rPr>
        <w:t>Informationswertanalyse</w:t>
      </w:r>
      <w:r w:rsidR="003E4D09">
        <w:t xml:space="preserve"> </w:t>
      </w:r>
      <w:r>
        <w:t>zeigt auf, welcher materielle Schaden bei einem Teil- oder Gesamtverlust der Informationen entstehen würde.</w:t>
      </w:r>
    </w:p>
    <w:p w:rsidR="00E96933" w:rsidRDefault="00E96933" w:rsidP="00E96933">
      <w:pPr>
        <w:numPr>
          <w:ilvl w:val="1"/>
          <w:numId w:val="6"/>
        </w:numPr>
        <w:spacing w:line="360" w:lineRule="auto"/>
      </w:pPr>
      <w:r>
        <w:t xml:space="preserve">Eine </w:t>
      </w:r>
      <w:r w:rsidRPr="00151BA6">
        <w:rPr>
          <w:i/>
        </w:rPr>
        <w:t>Bedrohungsanalyse</w:t>
      </w:r>
      <w:r>
        <w:t xml:space="preserve"> deckt auf, wer allenfalls an einem (illegalen) Zugang zu den Informationen ein Interesse haben könnte und welches kriminelle Potential ein Missbrauch der Informationen darstellen könnte.</w:t>
      </w:r>
    </w:p>
    <w:p w:rsidR="00E96933" w:rsidRDefault="00E96933" w:rsidP="00E96933">
      <w:pPr>
        <w:numPr>
          <w:ilvl w:val="1"/>
          <w:numId w:val="6"/>
        </w:numPr>
        <w:spacing w:line="360" w:lineRule="auto"/>
      </w:pPr>
      <w:r>
        <w:t xml:space="preserve">Mittels einer </w:t>
      </w:r>
      <w:r w:rsidRPr="00151BA6">
        <w:rPr>
          <w:i/>
        </w:rPr>
        <w:t>Klassifizierung</w:t>
      </w:r>
      <w:r w:rsidR="00841CEF">
        <w:t xml:space="preserve">, </w:t>
      </w:r>
      <w:r>
        <w:t>wird die Applikation punkto Verfügbarkeit und Vertraulichkeit der Daten eingeordnet.</w:t>
      </w:r>
    </w:p>
    <w:p w:rsidR="00940103" w:rsidRDefault="00BA4714">
      <w:pPr>
        <w:pStyle w:val="Titel3"/>
        <w:spacing w:before="240"/>
      </w:pPr>
      <w:r>
        <w:t>4</w:t>
      </w:r>
      <w:r w:rsidR="00940103">
        <w:t>. Massnahmen</w:t>
      </w:r>
    </w:p>
    <w:p w:rsidR="00940103" w:rsidRDefault="00940103">
      <w:pPr>
        <w:spacing w:after="60"/>
        <w:ind w:left="284"/>
      </w:pPr>
      <w:r>
        <w:t xml:space="preserve">Auflistung der </w:t>
      </w:r>
      <w:r w:rsidR="00BA4714">
        <w:t>bis zur Inbetriebnahme erforde</w:t>
      </w:r>
      <w:r>
        <w:t>rlichen technischen und organisatorischen Massnahmen, wobei obligatorisch sind:</w:t>
      </w:r>
    </w:p>
    <w:p w:rsidR="00940103" w:rsidRDefault="00940103">
      <w:pPr>
        <w:pStyle w:val="AufzhlungPunkt"/>
        <w:tabs>
          <w:tab w:val="clear" w:pos="1134"/>
          <w:tab w:val="left" w:pos="567"/>
        </w:tabs>
        <w:ind w:left="567" w:hanging="283"/>
      </w:pPr>
      <w:r>
        <w:t>Benutzerberechtigungskonzept</w:t>
      </w:r>
    </w:p>
    <w:p w:rsidR="00E96933" w:rsidRPr="00133368" w:rsidRDefault="00940103">
      <w:pPr>
        <w:pStyle w:val="AufzhlungPunkt"/>
        <w:tabs>
          <w:tab w:val="clear" w:pos="1134"/>
          <w:tab w:val="left" w:pos="567"/>
        </w:tabs>
        <w:ind w:left="567" w:hanging="283"/>
      </w:pPr>
      <w:r w:rsidRPr="00133368">
        <w:t>Grundschutzmassnahmen Inform</w:t>
      </w:r>
      <w:r w:rsidR="007205A3" w:rsidRPr="00133368">
        <w:t>ationssicherheit gemäss Checkliste Grundschutz</w:t>
      </w:r>
    </w:p>
    <w:p w:rsidR="00940103" w:rsidRPr="00133368" w:rsidRDefault="00A66A43">
      <w:pPr>
        <w:pStyle w:val="AufzhlungPunkt"/>
        <w:tabs>
          <w:tab w:val="clear" w:pos="1134"/>
          <w:tab w:val="left" w:pos="567"/>
        </w:tabs>
        <w:ind w:left="567" w:hanging="283"/>
      </w:pPr>
      <w:r w:rsidRPr="00133368">
        <w:t>Massnahmen, die allenfalls einen erhöhten Schutzbedarf abdecken.</w:t>
      </w:r>
    </w:p>
    <w:p w:rsidR="00940103" w:rsidRDefault="00940103">
      <w:pPr>
        <w:pStyle w:val="AufzhlungPunkt"/>
        <w:tabs>
          <w:tab w:val="clear" w:pos="1134"/>
          <w:tab w:val="left" w:pos="567"/>
        </w:tabs>
        <w:ind w:left="567" w:hanging="283"/>
      </w:pPr>
      <w:r>
        <w:t>Angaben zur Umsetzung der Massnahmen bis zur Systemeinführung (Massnahmenplan)</w:t>
      </w:r>
    </w:p>
    <w:p w:rsidR="00841CEF" w:rsidRDefault="00841CEF" w:rsidP="00841CEF"/>
    <w:p w:rsidR="00841CEF" w:rsidRPr="00841CEF" w:rsidRDefault="00841CEF" w:rsidP="00841CEF"/>
    <w:sectPr w:rsidR="00841CEF" w:rsidRPr="00841CEF">
      <w:headerReference w:type="default" r:id="rId7"/>
      <w:footerReference w:type="default" r:id="rId8"/>
      <w:pgSz w:w="11907" w:h="16840" w:code="9"/>
      <w:pgMar w:top="1985" w:right="1418" w:bottom="1418" w:left="1701" w:header="851" w:footer="567" w:gutter="0"/>
      <w:paperSrc w:first="11" w:other="1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916" w:rsidRDefault="005B0916">
      <w:r>
        <w:separator/>
      </w:r>
    </w:p>
  </w:endnote>
  <w:endnote w:type="continuationSeparator" w:id="0">
    <w:p w:rsidR="005B0916" w:rsidRDefault="005B0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513"/>
      <w:gridCol w:w="1345"/>
    </w:tblGrid>
    <w:tr w:rsidR="003E4D09">
      <w:trPr>
        <w:cantSplit/>
      </w:trPr>
      <w:tc>
        <w:tcPr>
          <w:tcW w:w="7513" w:type="dxa"/>
        </w:tcPr>
        <w:p w:rsidR="003E4D09" w:rsidRDefault="0017744C">
          <w:pPr>
            <w:pStyle w:val="Fuzeile"/>
          </w:pPr>
          <w:r>
            <w:fldChar w:fldCharType="begin"/>
          </w:r>
          <w:r>
            <w:instrText xml:space="preserve"> FILENAME </w:instrText>
          </w:r>
          <w:r>
            <w:fldChar w:fldCharType="separate"/>
          </w:r>
          <w:r w:rsidR="00FF7BFE">
            <w:rPr>
              <w:noProof/>
            </w:rPr>
            <w:t>ISDS_Konzept_gemeinden</w:t>
          </w:r>
          <w:r>
            <w:rPr>
              <w:noProof/>
            </w:rPr>
            <w:fldChar w:fldCharType="end"/>
          </w:r>
        </w:p>
      </w:tc>
      <w:tc>
        <w:tcPr>
          <w:tcW w:w="1345" w:type="dxa"/>
        </w:tcPr>
        <w:p w:rsidR="003E4D09" w:rsidRDefault="003E4D09">
          <w:pPr>
            <w:spacing w:before="120"/>
            <w:jc w:val="right"/>
          </w:pPr>
          <w: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PAGE </w:instrText>
          </w:r>
          <w:r>
            <w:rPr>
              <w:rStyle w:val="Seitenzahl"/>
            </w:rPr>
            <w:fldChar w:fldCharType="separate"/>
          </w:r>
          <w:r w:rsidR="0017744C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  <w:r>
            <w:rPr>
              <w:rStyle w:val="Seitenzahl"/>
            </w:rPr>
            <w:t>/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 NUMPAGES </w:instrText>
          </w:r>
          <w:r>
            <w:rPr>
              <w:rStyle w:val="Seitenzahl"/>
            </w:rPr>
            <w:fldChar w:fldCharType="separate"/>
          </w:r>
          <w:r w:rsidR="0017744C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:rsidR="003E4D09" w:rsidRDefault="003E4D09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916" w:rsidRDefault="005B0916">
      <w:r>
        <w:separator/>
      </w:r>
    </w:p>
  </w:footnote>
  <w:footnote w:type="continuationSeparator" w:id="0">
    <w:p w:rsidR="005B0916" w:rsidRDefault="005B0916">
      <w:r>
        <w:continuationSeparator/>
      </w:r>
    </w:p>
  </w:footnote>
  <w:footnote w:id="1">
    <w:p w:rsidR="003E4D09" w:rsidRDefault="003E4D09">
      <w:pPr>
        <w:pStyle w:val="Funotentext"/>
      </w:pPr>
      <w:r>
        <w:rPr>
          <w:rStyle w:val="Funotenzeichen"/>
        </w:rPr>
        <w:footnoteRef/>
      </w:r>
      <w:r>
        <w:t xml:space="preserve"> Zum Erstellen dieser Liste ist ein anerkannter Standard anzuwenden [z. B: Best </w:t>
      </w:r>
      <w:proofErr w:type="spellStart"/>
      <w:r>
        <w:t>practices</w:t>
      </w:r>
      <w:proofErr w:type="spellEnd"/>
      <w:r>
        <w:t xml:space="preserve"> aus ISO 27000 (</w:t>
      </w:r>
      <w:hyperlink r:id="rId1" w:history="1">
        <w:r w:rsidRPr="008E13FB">
          <w:rPr>
            <w:rStyle w:val="Hyperlink"/>
          </w:rPr>
          <w:t>www.iso.org/iso/catalogue_detail?csnumber=41933</w:t>
        </w:r>
      </w:hyperlink>
      <w:r>
        <w:t xml:space="preserve"> ), BSI-Handbuch (</w:t>
      </w:r>
      <w:hyperlink r:id="rId2" w:history="1">
        <w:r w:rsidRPr="008E13FB">
          <w:rPr>
            <w:rStyle w:val="Hyperlink"/>
          </w:rPr>
          <w:t>https://www.bsi.bund.de/DE/Themen/ITGrundschutz/itgrundschutz_node.html;jsessionid=289D252805C9E8B063DA1BCA72CE0418.2_cid241</w:t>
        </w:r>
      </w:hyperlink>
      <w:r>
        <w:t xml:space="preserve"> ), </w:t>
      </w:r>
      <w:proofErr w:type="spellStart"/>
      <w:r>
        <w:t>WiSB</w:t>
      </w:r>
      <w:proofErr w:type="spellEnd"/>
      <w:r>
        <w:t xml:space="preserve"> (</w:t>
      </w:r>
      <w:hyperlink r:id="rId3" w:history="1">
        <w:r w:rsidR="001D3C5D" w:rsidRPr="00114781">
          <w:rPr>
            <w:rStyle w:val="Hyperlink"/>
          </w:rPr>
          <w:t>https://www.isb.admin.ch/isb/de/home/themen/sicherheit.html</w:t>
        </w:r>
      </w:hyperlink>
      <w:r>
        <w:t xml:space="preserve">)]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464"/>
      <w:gridCol w:w="4464"/>
    </w:tblGrid>
    <w:tr w:rsidR="003E4D09">
      <w:tc>
        <w:tcPr>
          <w:tcW w:w="4464" w:type="dxa"/>
        </w:tcPr>
        <w:p w:rsidR="003E4D09" w:rsidRDefault="003E4D09">
          <w:pPr>
            <w:pStyle w:val="Kopfzeile"/>
          </w:pPr>
          <w:r>
            <w:t>Datenschutzaufsichtsstelle der Gemeinde .....</w:t>
          </w:r>
        </w:p>
      </w:tc>
      <w:tc>
        <w:tcPr>
          <w:tcW w:w="4464" w:type="dxa"/>
        </w:tcPr>
        <w:p w:rsidR="003E4D09" w:rsidRDefault="003E4D09">
          <w:pPr>
            <w:pStyle w:val="Kopfzeile"/>
            <w:jc w:val="right"/>
          </w:pPr>
        </w:p>
      </w:tc>
    </w:tr>
  </w:tbl>
  <w:p w:rsidR="003E4D09" w:rsidRDefault="003E4D09" w:rsidP="0040333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C1E"/>
    <w:multiLevelType w:val="hybridMultilevel"/>
    <w:tmpl w:val="4A1C766C"/>
    <w:lvl w:ilvl="0" w:tplc="08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7084FE6"/>
    <w:multiLevelType w:val="hybridMultilevel"/>
    <w:tmpl w:val="D256EE9C"/>
    <w:lvl w:ilvl="0" w:tplc="5C50EC7E">
      <w:start w:val="1"/>
      <w:numFmt w:val="decimal"/>
      <w:lvlText w:val="[%1]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39495DD8"/>
    <w:multiLevelType w:val="hybridMultilevel"/>
    <w:tmpl w:val="DA9AFEC6"/>
    <w:lvl w:ilvl="0" w:tplc="1FFE939E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91A7B"/>
    <w:multiLevelType w:val="hybridMultilevel"/>
    <w:tmpl w:val="1E1A1FBE"/>
    <w:lvl w:ilvl="0" w:tplc="372CEF58">
      <w:start w:val="1"/>
      <w:numFmt w:val="bullet"/>
      <w:pStyle w:val="AufzhlungPunk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651E0E41"/>
    <w:multiLevelType w:val="hybridMultilevel"/>
    <w:tmpl w:val="08201A16"/>
    <w:lvl w:ilvl="0" w:tplc="A296DC32">
      <w:start w:val="1"/>
      <w:numFmt w:val="lowerLetter"/>
      <w:pStyle w:val="AufzhlungBuchstaben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0D97E26"/>
    <w:multiLevelType w:val="hybridMultilevel"/>
    <w:tmpl w:val="BD3EA84C"/>
    <w:lvl w:ilvl="0" w:tplc="2E528298">
      <w:start w:val="3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D7B49F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A4"/>
    <w:rsid w:val="00013A48"/>
    <w:rsid w:val="00046248"/>
    <w:rsid w:val="00073F75"/>
    <w:rsid w:val="000C4A42"/>
    <w:rsid w:val="00120B32"/>
    <w:rsid w:val="00133368"/>
    <w:rsid w:val="00136155"/>
    <w:rsid w:val="00156F97"/>
    <w:rsid w:val="0016511E"/>
    <w:rsid w:val="0017744C"/>
    <w:rsid w:val="00183715"/>
    <w:rsid w:val="00184C14"/>
    <w:rsid w:val="001D3C5D"/>
    <w:rsid w:val="001D66D4"/>
    <w:rsid w:val="00254999"/>
    <w:rsid w:val="0027568A"/>
    <w:rsid w:val="002A0199"/>
    <w:rsid w:val="002A5A17"/>
    <w:rsid w:val="002D38B9"/>
    <w:rsid w:val="002F736E"/>
    <w:rsid w:val="0030259F"/>
    <w:rsid w:val="00304038"/>
    <w:rsid w:val="0031515F"/>
    <w:rsid w:val="003A77CD"/>
    <w:rsid w:val="003D5898"/>
    <w:rsid w:val="003E4D09"/>
    <w:rsid w:val="003E6CD0"/>
    <w:rsid w:val="00403331"/>
    <w:rsid w:val="004D0406"/>
    <w:rsid w:val="00545751"/>
    <w:rsid w:val="005B0916"/>
    <w:rsid w:val="005F4EEF"/>
    <w:rsid w:val="00627017"/>
    <w:rsid w:val="00635A2E"/>
    <w:rsid w:val="006F2DD2"/>
    <w:rsid w:val="007063F6"/>
    <w:rsid w:val="00712CA4"/>
    <w:rsid w:val="007205A3"/>
    <w:rsid w:val="0080049A"/>
    <w:rsid w:val="00841CEF"/>
    <w:rsid w:val="00843243"/>
    <w:rsid w:val="00854283"/>
    <w:rsid w:val="00883C7D"/>
    <w:rsid w:val="008E05CC"/>
    <w:rsid w:val="009108D9"/>
    <w:rsid w:val="00925897"/>
    <w:rsid w:val="00940103"/>
    <w:rsid w:val="009B122F"/>
    <w:rsid w:val="00A66A43"/>
    <w:rsid w:val="00A75E23"/>
    <w:rsid w:val="00BA4714"/>
    <w:rsid w:val="00C953A2"/>
    <w:rsid w:val="00CC3B89"/>
    <w:rsid w:val="00CF36DA"/>
    <w:rsid w:val="00D45471"/>
    <w:rsid w:val="00D90012"/>
    <w:rsid w:val="00DD7B82"/>
    <w:rsid w:val="00E02EF9"/>
    <w:rsid w:val="00E16E35"/>
    <w:rsid w:val="00E341EB"/>
    <w:rsid w:val="00E96933"/>
    <w:rsid w:val="00F02031"/>
    <w:rsid w:val="00F03CC5"/>
    <w:rsid w:val="00FC25F6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05C98C-03BB-41A2-B31F-C61A8ABCD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/>
    </w:pPr>
    <w:rPr>
      <w:rFonts w:ascii="Arial" w:hAnsi="Arial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/>
    </w:pPr>
    <w:rPr>
      <w:color w:val="808080"/>
    </w:rPr>
  </w:style>
  <w:style w:type="paragraph" w:customStyle="1" w:styleId="AufzhlungPunkt">
    <w:name w:val="Aufzählung_Punkt"/>
    <w:next w:val="Standard"/>
    <w:pPr>
      <w:numPr>
        <w:numId w:val="2"/>
      </w:numPr>
      <w:tabs>
        <w:tab w:val="left" w:pos="1134"/>
      </w:tabs>
      <w:spacing w:after="60"/>
      <w:ind w:left="1135" w:hanging="284"/>
    </w:pPr>
    <w:rPr>
      <w:rFonts w:ascii="Arial" w:hAnsi="Arial"/>
      <w:lang w:eastAsia="de-DE"/>
    </w:rPr>
  </w:style>
  <w:style w:type="character" w:styleId="Seitenzahl">
    <w:name w:val="page number"/>
    <w:rPr>
      <w:rFonts w:ascii="Arial" w:hAnsi="Arial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itel3">
    <w:name w:val="Titel_3"/>
    <w:basedOn w:val="Standard"/>
    <w:pPr>
      <w:spacing w:before="120"/>
      <w:ind w:left="2835" w:hanging="2835"/>
    </w:pPr>
    <w:rPr>
      <w:b/>
      <w:bCs/>
      <w:i/>
      <w:iCs/>
      <w:color w:val="808080"/>
      <w:sz w:val="24"/>
      <w:szCs w:val="24"/>
    </w:rPr>
  </w:style>
  <w:style w:type="paragraph" w:customStyle="1" w:styleId="Titel1">
    <w:name w:val="Titel_1"/>
    <w:basedOn w:val="Standard"/>
    <w:pPr>
      <w:spacing w:before="720" w:after="360"/>
    </w:pPr>
    <w:rPr>
      <w:i/>
      <w:iCs/>
      <w:color w:val="808080"/>
      <w:sz w:val="56"/>
      <w:szCs w:val="56"/>
    </w:rPr>
  </w:style>
  <w:style w:type="paragraph" w:customStyle="1" w:styleId="AufzhlungBuchstaben">
    <w:name w:val="Aufzählung_Buchstaben"/>
    <w:next w:val="Standard"/>
    <w:pPr>
      <w:numPr>
        <w:numId w:val="1"/>
      </w:numPr>
      <w:tabs>
        <w:tab w:val="clear" w:pos="1211"/>
        <w:tab w:val="left" w:pos="1134"/>
      </w:tabs>
      <w:ind w:left="1135" w:hanging="284"/>
    </w:pPr>
    <w:rPr>
      <w:rFonts w:ascii="Arial" w:hAnsi="Arial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35A2E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35A2E"/>
    <w:rPr>
      <w:rFonts w:ascii="Tahoma" w:hAnsi="Tahoma" w:cs="Tahoma"/>
      <w:sz w:val="16"/>
      <w:szCs w:val="16"/>
      <w:lang w:eastAsia="de-DE"/>
    </w:rPr>
  </w:style>
  <w:style w:type="paragraph" w:styleId="Funotentext">
    <w:name w:val="footnote text"/>
    <w:basedOn w:val="Standard"/>
    <w:semiHidden/>
    <w:rsid w:val="00D90012"/>
  </w:style>
  <w:style w:type="character" w:styleId="Funotenzeichen">
    <w:name w:val="footnote reference"/>
    <w:semiHidden/>
    <w:rsid w:val="00D90012"/>
    <w:rPr>
      <w:vertAlign w:val="superscript"/>
    </w:rPr>
  </w:style>
  <w:style w:type="character" w:styleId="Hyperlink">
    <w:name w:val="Hyperlink"/>
    <w:rsid w:val="00304038"/>
    <w:rPr>
      <w:color w:val="0000FF"/>
      <w:u w:val="single"/>
    </w:rPr>
  </w:style>
  <w:style w:type="character" w:customStyle="1" w:styleId="BesuchterHyperlink">
    <w:name w:val="BesuchterHyperlink"/>
    <w:rsid w:val="0030403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sb.admin.ch/isb/de/home/themen/sicherheit.html" TargetMode="External"/><Relationship Id="rId2" Type="http://schemas.openxmlformats.org/officeDocument/2006/relationships/hyperlink" Target="https://www.bsi.bund.de/DE/Themen/ITGrundschutz/itgrundschutz_node.html;jsessionid=289D252805C9E8B063DA1BCA72CE0418.2_cid241" TargetMode="External"/><Relationship Id="rId1" Type="http://schemas.openxmlformats.org/officeDocument/2006/relationships/hyperlink" Target="http://www.iso.org/iso/catalogue_detail?csnumber=4193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dsa-isds-konzept-gemeinden-de</vt:lpstr>
    </vt:vector>
  </TitlesOfParts>
  <Company>Kanton Bern</Company>
  <LinksUpToDate>false</LinksUpToDate>
  <CharactersWithSpaces>2738</CharactersWithSpaces>
  <SharedDoc>false</SharedDoc>
  <HLinks>
    <vt:vector size="18" baseType="variant">
      <vt:variant>
        <vt:i4>2621491</vt:i4>
      </vt:variant>
      <vt:variant>
        <vt:i4>6</vt:i4>
      </vt:variant>
      <vt:variant>
        <vt:i4>0</vt:i4>
      </vt:variant>
      <vt:variant>
        <vt:i4>5</vt:i4>
      </vt:variant>
      <vt:variant>
        <vt:lpwstr>https://www.isb.admin.ch/isb/de/home/themen/sicherheit.html</vt:lpwstr>
      </vt:variant>
      <vt:variant>
        <vt:lpwstr/>
      </vt:variant>
      <vt:variant>
        <vt:i4>4653065</vt:i4>
      </vt:variant>
      <vt:variant>
        <vt:i4>3</vt:i4>
      </vt:variant>
      <vt:variant>
        <vt:i4>0</vt:i4>
      </vt:variant>
      <vt:variant>
        <vt:i4>5</vt:i4>
      </vt:variant>
      <vt:variant>
        <vt:lpwstr>https://www.bsi.bund.de/DE/Themen/ITGrundschutz/itgrundschutz_node.html;jsessionid=289D252805C9E8B063DA1BCA72CE0418.2_cid241</vt:lpwstr>
      </vt:variant>
      <vt:variant>
        <vt:lpwstr/>
      </vt:variant>
      <vt:variant>
        <vt:i4>3407899</vt:i4>
      </vt:variant>
      <vt:variant>
        <vt:i4>0</vt:i4>
      </vt:variant>
      <vt:variant>
        <vt:i4>0</vt:i4>
      </vt:variant>
      <vt:variant>
        <vt:i4>5</vt:i4>
      </vt:variant>
      <vt:variant>
        <vt:lpwstr>http://www.iso.org/iso/catalogue_detail?csnumber=41933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isds-konzept-gemeinden-de</dc:title>
  <dc:subject>ISDS-Konzept Gemeinden</dc:subject>
  <dc:creator>DSA</dc:creator>
  <cp:keywords>isds-konzept-gemeinden-de</cp:keywords>
  <dc:description>isds-konzept-gemeinden-de</dc:description>
  <cp:lastModifiedBy>Bennet Anders, DIJ-DSA</cp:lastModifiedBy>
  <cp:revision>4</cp:revision>
  <cp:lastPrinted>2011-11-15T16:59:00Z</cp:lastPrinted>
  <dcterms:created xsi:type="dcterms:W3CDTF">2021-08-11T12:55:00Z</dcterms:created>
  <dcterms:modified xsi:type="dcterms:W3CDTF">2021-10-28T13:45:00Z</dcterms:modified>
</cp:coreProperties>
</file>